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7B4598">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021B76">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443038875"/>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021B76">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159694877"/>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689873815"/>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021B76">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2087143535"/>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522EC0" w:rsidRDefault="00021B76">
                <w:pPr>
                  <w:suppressLineNumbers/>
                  <w:rPr>
                    <w:rFonts w:ascii="Arial" w:hAnsi="Arial"/>
                    <w:b/>
                    <w:bCs/>
                    <w:noProof w:val="0"/>
                    <w:sz w:val="26"/>
                    <w:szCs w:val="26"/>
                    <w:rtl/>
                  </w:rPr>
                </w:pPr>
                <w:r>
                  <w:rPr>
                    <w:rFonts w:ascii="Arial" w:hAnsi="Arial" w:hint="cs"/>
                    <w:b/>
                    <w:bCs/>
                    <w:noProof w:val="0"/>
                    <w:sz w:val="26"/>
                    <w:szCs w:val="26"/>
                    <w:rtl/>
                  </w:rPr>
                  <w:t>ה</w:t>
                </w:r>
                <w:r w:rsidR="00672B5E">
                  <w:rPr>
                    <w:rFonts w:ascii="Arial" w:hAnsi="Arial"/>
                    <w:b/>
                    <w:bCs/>
                    <w:noProof w:val="0"/>
                    <w:sz w:val="26"/>
                    <w:szCs w:val="26"/>
                    <w:rtl/>
                  </w:rPr>
                  <w:t>מערערים</w:t>
                </w:r>
              </w:p>
            </w:sdtContent>
          </w:sdt>
        </w:tc>
        <w:tc>
          <w:tcPr>
            <w:tcW w:w="5571" w:type="dxa"/>
          </w:tcPr>
          <w:p w:rsidR="003763AB" w:rsidRDefault="003B5CB4" w:rsidP="001C5B01">
            <w:pPr>
              <w:suppressLineNumbers/>
              <w:rPr>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FE6113">
                  <w:rPr>
                    <w:rFonts w:ascii="Arial" w:hAnsi="Arial" w:hint="cs"/>
                    <w:b/>
                    <w:bCs/>
                    <w:noProof w:val="0"/>
                    <w:sz w:val="26"/>
                    <w:szCs w:val="26"/>
                    <w:rtl/>
                  </w:rPr>
                  <w:t>פלוני</w:t>
                </w:r>
              </w:sdtContent>
            </w:sdt>
          </w:p>
          <w:p w:rsidR="003763AB" w:rsidRPr="00703EA1" w:rsidRDefault="003B5CB4" w:rsidP="001C5B01">
            <w:pPr>
              <w:suppressLineNumbers/>
              <w:rPr>
                <w:b/>
                <w:bCs/>
                <w:sz w:val="26"/>
                <w:szCs w:val="26"/>
                <w:rtl/>
              </w:rPr>
            </w:pPr>
            <w:sdt>
              <w:sdtPr>
                <w:rPr>
                  <w:sz w:val="26"/>
                  <w:szCs w:val="26"/>
                  <w:rtl/>
                </w:rPr>
                <w:alias w:val="1462"/>
                <w:tag w:val="1462"/>
                <w:id w:val="1240985165"/>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25892476"/>
                <w:text w:multiLine="1"/>
              </w:sdtPr>
              <w:sdtEndPr/>
              <w:sdtContent>
                <w:r w:rsidR="00FE6113">
                  <w:rPr>
                    <w:rFonts w:ascii="Arial" w:hAnsi="Arial" w:hint="cs"/>
                    <w:b/>
                    <w:bCs/>
                    <w:noProof w:val="0"/>
                    <w:sz w:val="26"/>
                    <w:szCs w:val="26"/>
                    <w:rtl/>
                  </w:rPr>
                  <w:t>אלמוני</w:t>
                </w:r>
              </w:sdtContent>
            </w:sdt>
          </w:p>
          <w:p w:rsidR="0094424E" w:rsidRPr="00FA4EAF" w:rsidRDefault="001D3441" w:rsidP="001C5B01">
            <w:pPr>
              <w:suppressLineNumbers/>
              <w:rPr>
                <w:b/>
                <w:bCs/>
                <w:noProof w:val="0"/>
                <w:sz w:val="26"/>
                <w:szCs w:val="26"/>
              </w:rPr>
            </w:pPr>
            <w:r w:rsidRPr="00703EA1">
              <w:rPr>
                <w:rFonts w:hint="cs"/>
                <w:b/>
                <w:bCs/>
                <w:sz w:val="26"/>
                <w:szCs w:val="26"/>
                <w:rtl/>
              </w:rPr>
              <w:t>ע"י ב"כ עו"ד</w:t>
            </w:r>
            <w:r w:rsidR="00021B76">
              <w:rPr>
                <w:rFonts w:hint="cs"/>
                <w:sz w:val="26"/>
                <w:szCs w:val="26"/>
                <w:rtl/>
              </w:rPr>
              <w:t xml:space="preserve"> </w:t>
            </w:r>
            <w:r w:rsidR="00021B76" w:rsidRPr="00021B76">
              <w:rPr>
                <w:rFonts w:hint="cs"/>
                <w:b/>
                <w:bCs/>
                <w:sz w:val="26"/>
                <w:szCs w:val="26"/>
                <w:rtl/>
              </w:rPr>
              <w:t>איריס שינפלד</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3B5CB4" w:rsidP="00021B76">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021B76" w:rsidRPr="00991AB9">
                  <w:rPr>
                    <w:rFonts w:ascii="Arial" w:hAnsi="Arial" w:hint="cs"/>
                    <w:b/>
                    <w:bCs/>
                    <w:noProof w:val="0"/>
                    <w:sz w:val="26"/>
                    <w:szCs w:val="26"/>
                    <w:rtl/>
                  </w:rPr>
                  <w:t>ה</w:t>
                </w:r>
                <w:r w:rsidR="008D3BCC" w:rsidRPr="00991AB9">
                  <w:rPr>
                    <w:rFonts w:ascii="Arial" w:hAnsi="Arial"/>
                    <w:b/>
                    <w:bCs/>
                    <w:noProof w:val="0"/>
                    <w:sz w:val="26"/>
                    <w:szCs w:val="26"/>
                    <w:rtl/>
                  </w:rPr>
                  <w:t>משיב</w:t>
                </w:r>
                <w:r w:rsidR="006C1CD4" w:rsidRPr="00991AB9">
                  <w:rPr>
                    <w:rFonts w:hint="cs"/>
                    <w:b/>
                    <w:bCs/>
                    <w:sz w:val="26"/>
                    <w:szCs w:val="26"/>
                    <w:rtl/>
                  </w:rPr>
                  <w:t>ה</w:t>
                </w:r>
              </w:sdtContent>
            </w:sdt>
          </w:p>
        </w:tc>
        <w:tc>
          <w:tcPr>
            <w:tcW w:w="5571" w:type="dxa"/>
          </w:tcPr>
          <w:p w:rsidR="003763AB" w:rsidRPr="00021B76" w:rsidRDefault="00021B76" w:rsidP="00021B76">
            <w:pPr>
              <w:suppressLineNumbers/>
              <w:rPr>
                <w:b/>
                <w:bCs/>
                <w:sz w:val="26"/>
                <w:szCs w:val="26"/>
                <w:rtl/>
              </w:rPr>
            </w:pPr>
            <w:r w:rsidRPr="00021B76">
              <w:rPr>
                <w:rFonts w:hint="cs"/>
                <w:b/>
                <w:bCs/>
                <w:sz w:val="26"/>
                <w:szCs w:val="26"/>
                <w:rtl/>
              </w:rPr>
              <w:t xml:space="preserve">מדינת ישראל </w:t>
            </w:r>
            <w:r>
              <w:rPr>
                <w:rFonts w:hint="cs"/>
                <w:b/>
                <w:bCs/>
                <w:sz w:val="26"/>
                <w:szCs w:val="26"/>
                <w:rtl/>
              </w:rPr>
              <w:t xml:space="preserve">באמצעות </w:t>
            </w:r>
            <w:sdt>
              <w:sdtPr>
                <w:rPr>
                  <w:sz w:val="26"/>
                  <w:szCs w:val="26"/>
                  <w:rtl/>
                </w:rPr>
                <w:alias w:val="1486"/>
                <w:tag w:val="1486"/>
                <w:id w:val="2027355061"/>
                <w:text w:multiLine="1"/>
              </w:sdtPr>
              <w:sdtEndPr/>
              <w:sdtContent>
                <w:r w:rsidR="008D3BCC">
                  <w:rPr>
                    <w:rFonts w:ascii="Arial" w:hAnsi="Arial"/>
                    <w:b/>
                    <w:bCs/>
                    <w:noProof w:val="0"/>
                    <w:sz w:val="26"/>
                    <w:szCs w:val="26"/>
                    <w:rtl/>
                  </w:rPr>
                  <w:t>היועצת המשפטית לממשלה</w:t>
                </w:r>
              </w:sdtContent>
            </w:sdt>
          </w:p>
          <w:p w:rsidR="0094424E" w:rsidRPr="00FA4EAF" w:rsidRDefault="001D3441" w:rsidP="001C5B01">
            <w:pPr>
              <w:suppressLineNumbers/>
              <w:rPr>
                <w:b/>
                <w:bCs/>
                <w:noProof w:val="0"/>
                <w:sz w:val="26"/>
                <w:szCs w:val="26"/>
                <w:rtl/>
              </w:rPr>
            </w:pPr>
            <w:r w:rsidRPr="00703EA1">
              <w:rPr>
                <w:rFonts w:hint="cs"/>
                <w:b/>
                <w:bCs/>
                <w:sz w:val="26"/>
                <w:szCs w:val="26"/>
                <w:rtl/>
              </w:rPr>
              <w:t>ע"י ב"כ עו"ד</w:t>
            </w:r>
            <w:r w:rsidR="00021B76" w:rsidRPr="00703EA1">
              <w:rPr>
                <w:rFonts w:hint="cs"/>
                <w:b/>
                <w:bCs/>
                <w:noProof w:val="0"/>
                <w:sz w:val="26"/>
                <w:szCs w:val="26"/>
                <w:rtl/>
              </w:rPr>
              <w:t xml:space="preserve"> </w:t>
            </w:r>
            <w:r w:rsidR="00021B76">
              <w:rPr>
                <w:rFonts w:hint="cs"/>
                <w:b/>
                <w:bCs/>
                <w:noProof w:val="0"/>
                <w:sz w:val="26"/>
                <w:szCs w:val="26"/>
                <w:rtl/>
              </w:rPr>
              <w:t>אורלי לוי מנצור</w:t>
            </w:r>
          </w:p>
        </w:tc>
      </w:tr>
      <w:tr w:rsidR="004C17EE" w:rsidRPr="00FA4EAF" w:rsidTr="00D620FD">
        <w:trPr>
          <w:jc w:val="center"/>
        </w:trPr>
        <w:tc>
          <w:tcPr>
            <w:tcW w:w="8820" w:type="dxa"/>
            <w:gridSpan w:val="3"/>
          </w:tcPr>
          <w:p w:rsidR="00522EC0" w:rsidRDefault="00522EC0">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35482F" w:rsidRDefault="00021B76">
      <w:pPr>
        <w:spacing w:line="360" w:lineRule="auto"/>
        <w:jc w:val="both"/>
        <w:rPr>
          <w:rFonts w:ascii="Arial" w:hAnsi="Arial"/>
          <w:b/>
          <w:bCs/>
          <w:noProof w:val="0"/>
          <w:u w:val="single"/>
          <w:rtl/>
        </w:rPr>
      </w:pPr>
      <w:bookmarkStart w:id="1" w:name="NGCSBookmark"/>
      <w:bookmarkEnd w:id="1"/>
      <w:r w:rsidRPr="0035482F">
        <w:rPr>
          <w:rFonts w:ascii="Arial" w:hAnsi="Arial" w:hint="cs"/>
          <w:b/>
          <w:bCs/>
          <w:noProof w:val="0"/>
          <w:u w:val="single"/>
          <w:rtl/>
        </w:rPr>
        <w:t>השופט נפתלי שילה</w:t>
      </w:r>
      <w:r w:rsidRPr="00731E70">
        <w:rPr>
          <w:rFonts w:ascii="Arial" w:hAnsi="Arial" w:hint="cs"/>
          <w:b/>
          <w:bCs/>
          <w:noProof w:val="0"/>
          <w:rtl/>
        </w:rPr>
        <w:t>:</w:t>
      </w:r>
    </w:p>
    <w:p w:rsidR="00021B76" w:rsidRPr="0035482F" w:rsidRDefault="00021B76">
      <w:pPr>
        <w:spacing w:line="360" w:lineRule="auto"/>
        <w:jc w:val="both"/>
        <w:rPr>
          <w:rFonts w:ascii="Arial" w:hAnsi="Arial"/>
          <w:b/>
          <w:bCs/>
          <w:noProof w:val="0"/>
          <w:u w:val="single"/>
          <w:rtl/>
        </w:rPr>
      </w:pPr>
    </w:p>
    <w:p w:rsidR="00021B76" w:rsidRPr="0035482F" w:rsidRDefault="00021B76" w:rsidP="00731E70">
      <w:pPr>
        <w:spacing w:line="360" w:lineRule="auto"/>
        <w:jc w:val="both"/>
        <w:rPr>
          <w:rFonts w:ascii="Arial" w:hAnsi="Arial"/>
          <w:b/>
          <w:bCs/>
          <w:noProof w:val="0"/>
          <w:rtl/>
        </w:rPr>
      </w:pPr>
      <w:r w:rsidRPr="0035482F">
        <w:rPr>
          <w:rFonts w:ascii="Arial" w:hAnsi="Arial" w:hint="cs"/>
          <w:b/>
          <w:bCs/>
          <w:noProof w:val="0"/>
          <w:rtl/>
        </w:rPr>
        <w:t xml:space="preserve">לפנינו ערעור </w:t>
      </w:r>
      <w:r w:rsidR="005145A3" w:rsidRPr="0035482F">
        <w:rPr>
          <w:rFonts w:ascii="Arial" w:hAnsi="Arial" w:hint="cs"/>
          <w:b/>
          <w:bCs/>
          <w:noProof w:val="0"/>
          <w:rtl/>
        </w:rPr>
        <w:t xml:space="preserve">על פסק דינו של בית המשפט לענייני משפחה מיום 11.12.22 </w:t>
      </w:r>
      <w:r w:rsidR="007B1468">
        <w:rPr>
          <w:rFonts w:ascii="Arial" w:hAnsi="Arial" w:hint="cs"/>
          <w:b/>
          <w:bCs/>
          <w:noProof w:val="0"/>
          <w:rtl/>
        </w:rPr>
        <w:t xml:space="preserve">(כב' השופט ליאור ברינגר בתמ"ש 45240-02-22) </w:t>
      </w:r>
      <w:r w:rsidR="005145A3" w:rsidRPr="0035482F">
        <w:rPr>
          <w:rFonts w:ascii="Arial" w:hAnsi="Arial" w:hint="cs"/>
          <w:b/>
          <w:bCs/>
          <w:noProof w:val="0"/>
          <w:rtl/>
        </w:rPr>
        <w:t>שמחק את תביעת המערערים מחוסר מעש ועל החלטת בית המשפט מיום 8.11.22 שדחה את בקשת המערערים לבצע בדיקת רקמות אנונימית לזיהוי רקמות</w:t>
      </w:r>
      <w:r w:rsidR="0035482F">
        <w:rPr>
          <w:rFonts w:ascii="Arial" w:hAnsi="Arial" w:hint="cs"/>
          <w:b/>
          <w:bCs/>
          <w:noProof w:val="0"/>
          <w:rtl/>
        </w:rPr>
        <w:t>,</w:t>
      </w:r>
      <w:r w:rsidR="005145A3" w:rsidRPr="0035482F">
        <w:rPr>
          <w:rFonts w:ascii="Arial" w:hAnsi="Arial" w:hint="cs"/>
          <w:b/>
          <w:bCs/>
          <w:noProof w:val="0"/>
          <w:rtl/>
        </w:rPr>
        <w:t xml:space="preserve"> כך שלא ניתן יהי</w:t>
      </w:r>
      <w:r w:rsidR="00731E70">
        <w:rPr>
          <w:rFonts w:ascii="Arial" w:hAnsi="Arial" w:hint="cs"/>
          <w:b/>
          <w:bCs/>
          <w:noProof w:val="0"/>
          <w:rtl/>
        </w:rPr>
        <w:t>ה לדעת מי מבין המערערים הוא אביה</w:t>
      </w:r>
      <w:r w:rsidR="005145A3" w:rsidRPr="0035482F">
        <w:rPr>
          <w:rFonts w:ascii="Arial" w:hAnsi="Arial" w:hint="cs"/>
          <w:b/>
          <w:bCs/>
          <w:noProof w:val="0"/>
          <w:rtl/>
        </w:rPr>
        <w:t xml:space="preserve"> </w:t>
      </w:r>
      <w:r w:rsidR="0035482F">
        <w:rPr>
          <w:rFonts w:ascii="Arial" w:hAnsi="Arial" w:hint="cs"/>
          <w:b/>
          <w:bCs/>
          <w:noProof w:val="0"/>
          <w:rtl/>
        </w:rPr>
        <w:t xml:space="preserve">הגנטי של </w:t>
      </w:r>
      <w:r w:rsidR="005145A3" w:rsidRPr="0035482F">
        <w:rPr>
          <w:rFonts w:ascii="Arial" w:hAnsi="Arial" w:hint="cs"/>
          <w:b/>
          <w:bCs/>
          <w:noProof w:val="0"/>
          <w:rtl/>
        </w:rPr>
        <w:t>ה</w:t>
      </w:r>
      <w:r w:rsidR="00731E70">
        <w:rPr>
          <w:rFonts w:ascii="Arial" w:hAnsi="Arial" w:hint="cs"/>
          <w:b/>
          <w:bCs/>
          <w:noProof w:val="0"/>
          <w:rtl/>
        </w:rPr>
        <w:t>קטינה</w:t>
      </w:r>
      <w:r w:rsidR="005145A3" w:rsidRPr="0035482F">
        <w:rPr>
          <w:rFonts w:ascii="Arial" w:hAnsi="Arial" w:hint="cs"/>
          <w:b/>
          <w:bCs/>
          <w:noProof w:val="0"/>
          <w:rtl/>
        </w:rPr>
        <w:t xml:space="preserve"> שנולד</w:t>
      </w:r>
      <w:r w:rsidR="00731E70">
        <w:rPr>
          <w:rFonts w:ascii="Arial" w:hAnsi="Arial" w:hint="cs"/>
          <w:b/>
          <w:bCs/>
          <w:noProof w:val="0"/>
          <w:rtl/>
        </w:rPr>
        <w:t>ה</w:t>
      </w:r>
      <w:r w:rsidR="005145A3" w:rsidRPr="0035482F">
        <w:rPr>
          <w:rFonts w:ascii="Arial" w:hAnsi="Arial" w:hint="cs"/>
          <w:b/>
          <w:bCs/>
          <w:noProof w:val="0"/>
          <w:rtl/>
        </w:rPr>
        <w:t xml:space="preserve"> בהליך פונדקאות בחו"ל.</w:t>
      </w:r>
    </w:p>
    <w:p w:rsidR="005145A3" w:rsidRPr="0035482F" w:rsidRDefault="005145A3">
      <w:pPr>
        <w:spacing w:line="360" w:lineRule="auto"/>
        <w:jc w:val="both"/>
        <w:rPr>
          <w:rFonts w:ascii="Arial" w:hAnsi="Arial"/>
          <w:b/>
          <w:bCs/>
          <w:noProof w:val="0"/>
          <w:rtl/>
        </w:rPr>
      </w:pPr>
    </w:p>
    <w:p w:rsidR="005145A3" w:rsidRPr="00703EA1" w:rsidRDefault="00703EA1" w:rsidP="00703EA1">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5145A3" w:rsidRPr="00703EA1">
        <w:rPr>
          <w:rFonts w:ascii="Arial" w:hAnsi="Arial" w:hint="cs"/>
          <w:b/>
          <w:bCs/>
          <w:noProof w:val="0"/>
          <w:rtl/>
        </w:rPr>
        <w:t>רקע עובדתי</w:t>
      </w:r>
    </w:p>
    <w:p w:rsidR="005145A3" w:rsidRDefault="005145A3" w:rsidP="005145A3">
      <w:pPr>
        <w:spacing w:line="360" w:lineRule="auto"/>
        <w:jc w:val="both"/>
        <w:rPr>
          <w:rFonts w:ascii="Arial" w:hAnsi="Arial"/>
          <w:noProof w:val="0"/>
          <w:rtl/>
        </w:rPr>
      </w:pPr>
    </w:p>
    <w:p w:rsidR="005145A3" w:rsidRPr="00703EA1" w:rsidRDefault="00703EA1" w:rsidP="00703EA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145A3" w:rsidRPr="00703EA1">
        <w:rPr>
          <w:rFonts w:ascii="Arial" w:hAnsi="Arial" w:hint="cs"/>
          <w:noProof w:val="0"/>
          <w:rtl/>
        </w:rPr>
        <w:t xml:space="preserve">המערערים הם </w:t>
      </w:r>
      <w:r w:rsidR="007A1513" w:rsidRPr="00703EA1">
        <w:rPr>
          <w:rFonts w:ascii="Arial" w:hAnsi="Arial" w:hint="cs"/>
          <w:noProof w:val="0"/>
          <w:rtl/>
        </w:rPr>
        <w:t xml:space="preserve">בני זוג גברים </w:t>
      </w:r>
      <w:r w:rsidR="007B1468" w:rsidRPr="00703EA1">
        <w:rPr>
          <w:rFonts w:ascii="Arial" w:hAnsi="Arial" w:hint="cs"/>
          <w:noProof w:val="0"/>
          <w:rtl/>
        </w:rPr>
        <w:t xml:space="preserve">שנישאו בנישואין אזרחיים בחו"ל בשנת 2018 </w:t>
      </w:r>
      <w:r w:rsidR="007A1513" w:rsidRPr="00703EA1">
        <w:rPr>
          <w:rFonts w:ascii="Arial" w:hAnsi="Arial" w:hint="cs"/>
          <w:noProof w:val="0"/>
          <w:rtl/>
        </w:rPr>
        <w:t>וביום 9.3.20 נולד להם ב</w:t>
      </w:r>
      <w:r w:rsidR="006C1CD4" w:rsidRPr="00703EA1">
        <w:rPr>
          <w:rFonts w:ascii="Arial" w:hAnsi="Arial" w:hint="cs"/>
          <w:noProof w:val="0"/>
          <w:rtl/>
        </w:rPr>
        <w:t>ן</w:t>
      </w:r>
      <w:r w:rsidR="007A1513" w:rsidRPr="00703EA1">
        <w:rPr>
          <w:rFonts w:ascii="Arial" w:hAnsi="Arial" w:hint="cs"/>
          <w:noProof w:val="0"/>
          <w:rtl/>
        </w:rPr>
        <w:t xml:space="preserve"> (להלן: </w:t>
      </w:r>
      <w:r w:rsidR="007A1513" w:rsidRPr="00703EA1">
        <w:rPr>
          <w:rFonts w:ascii="Arial" w:hAnsi="Arial" w:hint="cs"/>
          <w:b/>
          <w:bCs/>
          <w:noProof w:val="0"/>
          <w:rtl/>
        </w:rPr>
        <w:t>הקטין</w:t>
      </w:r>
      <w:r w:rsidR="007A1513" w:rsidRPr="00703EA1">
        <w:rPr>
          <w:rFonts w:ascii="Arial" w:hAnsi="Arial" w:hint="cs"/>
          <w:noProof w:val="0"/>
          <w:rtl/>
        </w:rPr>
        <w:t xml:space="preserve">) בהליך פונדקאות בקנדה. </w:t>
      </w:r>
    </w:p>
    <w:p w:rsidR="007A1513" w:rsidRPr="00703EA1" w:rsidRDefault="007A1513" w:rsidP="007A1513">
      <w:pPr>
        <w:spacing w:line="360" w:lineRule="auto"/>
        <w:jc w:val="both"/>
        <w:rPr>
          <w:rFonts w:ascii="Arial" w:hAnsi="Arial"/>
          <w:noProof w:val="0"/>
          <w:rtl/>
        </w:rPr>
      </w:pPr>
    </w:p>
    <w:p w:rsidR="007A1513" w:rsidRPr="00703EA1" w:rsidRDefault="00703EA1" w:rsidP="00EF62A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A1513" w:rsidRPr="00703EA1">
        <w:rPr>
          <w:rFonts w:ascii="Arial" w:hAnsi="Arial" w:hint="cs"/>
          <w:noProof w:val="0"/>
          <w:rtl/>
        </w:rPr>
        <w:t xml:space="preserve">המערערים הגישו תביעת אבהות ביחס לקטין </w:t>
      </w:r>
      <w:r w:rsidR="007B1468" w:rsidRPr="00703EA1">
        <w:rPr>
          <w:rFonts w:ascii="Arial" w:hAnsi="Arial" w:hint="cs"/>
          <w:noProof w:val="0"/>
          <w:rtl/>
        </w:rPr>
        <w:t>שבה עתרו לכך שיוצ</w:t>
      </w:r>
      <w:r w:rsidR="00EF62AB">
        <w:rPr>
          <w:rFonts w:ascii="Arial" w:hAnsi="Arial" w:hint="cs"/>
          <w:noProof w:val="0"/>
          <w:rtl/>
        </w:rPr>
        <w:t>ה</w:t>
      </w:r>
      <w:r w:rsidR="007B1468" w:rsidRPr="00703EA1">
        <w:rPr>
          <w:rFonts w:ascii="Arial" w:hAnsi="Arial" w:hint="cs"/>
          <w:noProof w:val="0"/>
          <w:rtl/>
        </w:rPr>
        <w:t xml:space="preserve">ר שהמערער 1 הוא אביו </w:t>
      </w:r>
      <w:r w:rsidR="00EF62AB">
        <w:rPr>
          <w:rFonts w:ascii="Arial" w:hAnsi="Arial" w:hint="cs"/>
          <w:noProof w:val="0"/>
          <w:rtl/>
        </w:rPr>
        <w:t>של</w:t>
      </w:r>
      <w:r w:rsidR="007B1468" w:rsidRPr="00703EA1">
        <w:rPr>
          <w:rFonts w:ascii="Arial" w:hAnsi="Arial" w:hint="cs"/>
          <w:noProof w:val="0"/>
          <w:rtl/>
        </w:rPr>
        <w:t xml:space="preserve"> הקטין </w:t>
      </w:r>
      <w:r w:rsidR="007A1513" w:rsidRPr="00703EA1">
        <w:rPr>
          <w:rFonts w:ascii="Arial" w:hAnsi="Arial" w:hint="cs"/>
          <w:noProof w:val="0"/>
          <w:rtl/>
        </w:rPr>
        <w:t>ו</w:t>
      </w:r>
      <w:r w:rsidR="007B1468" w:rsidRPr="00703EA1">
        <w:rPr>
          <w:rFonts w:ascii="Arial" w:hAnsi="Arial" w:hint="cs"/>
          <w:noProof w:val="0"/>
          <w:rtl/>
        </w:rPr>
        <w:t xml:space="preserve">לאחר מכן עתרו לכך שיינתן </w:t>
      </w:r>
      <w:r w:rsidR="007A1513" w:rsidRPr="00703EA1">
        <w:rPr>
          <w:rFonts w:ascii="Arial" w:hAnsi="Arial" w:hint="cs"/>
          <w:noProof w:val="0"/>
          <w:rtl/>
        </w:rPr>
        <w:t xml:space="preserve">צו הורות פסיקתי ביחס </w:t>
      </w:r>
      <w:r w:rsidR="00EF62AB">
        <w:rPr>
          <w:rFonts w:ascii="Arial" w:hAnsi="Arial" w:hint="cs"/>
          <w:noProof w:val="0"/>
          <w:rtl/>
        </w:rPr>
        <w:t>לקטין שב</w:t>
      </w:r>
      <w:r w:rsidR="007B1468" w:rsidRPr="00703EA1">
        <w:rPr>
          <w:rFonts w:ascii="Arial" w:hAnsi="Arial" w:hint="cs"/>
          <w:noProof w:val="0"/>
          <w:rtl/>
        </w:rPr>
        <w:t xml:space="preserve">ו ייקבע שהמערער 2 אף הוא אביו של הקטין מכוח זיקה לזיקה. </w:t>
      </w:r>
      <w:r w:rsidR="007A1513" w:rsidRPr="00703EA1">
        <w:rPr>
          <w:rFonts w:ascii="Arial" w:hAnsi="Arial" w:hint="cs"/>
          <w:noProof w:val="0"/>
          <w:rtl/>
        </w:rPr>
        <w:t xml:space="preserve">בוצעה בדיקת רקמות לבירור אבהות </w:t>
      </w:r>
      <w:r w:rsidR="007B4598">
        <w:rPr>
          <w:rFonts w:ascii="Arial" w:hAnsi="Arial" w:hint="cs"/>
          <w:noProof w:val="0"/>
          <w:rtl/>
        </w:rPr>
        <w:t xml:space="preserve">של הקטין </w:t>
      </w:r>
      <w:r w:rsidR="007A1513" w:rsidRPr="00703EA1">
        <w:rPr>
          <w:rFonts w:ascii="Arial" w:hAnsi="Arial" w:hint="cs"/>
          <w:noProof w:val="0"/>
          <w:rtl/>
        </w:rPr>
        <w:t xml:space="preserve">ולאחר מכן, ניתן </w:t>
      </w:r>
      <w:r w:rsidR="00F85B95" w:rsidRPr="00703EA1">
        <w:rPr>
          <w:rFonts w:ascii="Arial" w:hAnsi="Arial" w:hint="cs"/>
          <w:noProof w:val="0"/>
          <w:rtl/>
        </w:rPr>
        <w:t>פסק דין הצהרתי לאבהות, בהתאם לתוצאות הבדיקה</w:t>
      </w:r>
      <w:r w:rsidR="007B1468" w:rsidRPr="00703EA1">
        <w:rPr>
          <w:rFonts w:ascii="Arial" w:hAnsi="Arial" w:hint="cs"/>
          <w:noProof w:val="0"/>
          <w:rtl/>
        </w:rPr>
        <w:t xml:space="preserve"> ולפיו המערער 1 הוא אביו של הקטין</w:t>
      </w:r>
      <w:r w:rsidR="00F85B95" w:rsidRPr="00703EA1">
        <w:rPr>
          <w:rFonts w:ascii="Arial" w:hAnsi="Arial" w:hint="cs"/>
          <w:noProof w:val="0"/>
          <w:rtl/>
        </w:rPr>
        <w:t xml:space="preserve">. </w:t>
      </w:r>
    </w:p>
    <w:p w:rsidR="007A1513" w:rsidRPr="007B1468" w:rsidRDefault="007A1513" w:rsidP="00EF62AB">
      <w:pPr>
        <w:pStyle w:val="ad"/>
        <w:spacing w:line="360" w:lineRule="auto"/>
        <w:rPr>
          <w:rFonts w:ascii="Arial" w:hAnsi="Arial"/>
          <w:noProof w:val="0"/>
          <w:rtl/>
        </w:rPr>
      </w:pPr>
    </w:p>
    <w:p w:rsidR="00BC445E" w:rsidRPr="00703EA1" w:rsidRDefault="00703EA1" w:rsidP="00811A6F">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85B95" w:rsidRPr="00703EA1">
        <w:rPr>
          <w:rFonts w:ascii="Arial" w:hAnsi="Arial" w:hint="cs"/>
          <w:noProof w:val="0"/>
          <w:rtl/>
        </w:rPr>
        <w:t xml:space="preserve">לאחר שניתן פסק הדין לאבהות ובטרם שניתן צו הורות פסיקתי לבן הזוג, </w:t>
      </w:r>
      <w:r w:rsidR="001F2B11">
        <w:rPr>
          <w:rFonts w:ascii="Arial" w:hAnsi="Arial" w:hint="cs"/>
          <w:noProof w:val="0"/>
          <w:rtl/>
        </w:rPr>
        <w:t xml:space="preserve">המערער 2, </w:t>
      </w:r>
      <w:r w:rsidR="00F85B95" w:rsidRPr="00703EA1">
        <w:rPr>
          <w:rFonts w:ascii="Arial" w:hAnsi="Arial" w:hint="cs"/>
          <w:noProof w:val="0"/>
          <w:rtl/>
        </w:rPr>
        <w:t>פנו המערערים למשרד הפנים על מ</w:t>
      </w:r>
      <w:r w:rsidR="007B1468" w:rsidRPr="00703EA1">
        <w:rPr>
          <w:rFonts w:ascii="Arial" w:hAnsi="Arial" w:hint="cs"/>
          <w:noProof w:val="0"/>
          <w:rtl/>
        </w:rPr>
        <w:t>נ</w:t>
      </w:r>
      <w:r w:rsidR="00F85B95" w:rsidRPr="00703EA1">
        <w:rPr>
          <w:rFonts w:ascii="Arial" w:hAnsi="Arial" w:hint="cs"/>
          <w:noProof w:val="0"/>
          <w:rtl/>
        </w:rPr>
        <w:t xml:space="preserve">ת לרשום את פסק הדין ההצהרתי לאבהות ופקיד </w:t>
      </w:r>
      <w:r w:rsidR="007B1468" w:rsidRPr="00703EA1">
        <w:rPr>
          <w:rFonts w:ascii="Arial" w:hAnsi="Arial" w:hint="cs"/>
          <w:noProof w:val="0"/>
          <w:rtl/>
        </w:rPr>
        <w:t xml:space="preserve">הרישום </w:t>
      </w:r>
      <w:r w:rsidR="00F85B95" w:rsidRPr="00703EA1">
        <w:rPr>
          <w:rFonts w:ascii="Arial" w:hAnsi="Arial" w:hint="cs"/>
          <w:noProof w:val="0"/>
          <w:rtl/>
        </w:rPr>
        <w:t>סירב לרשום את שם המשפחה הכפול של הקטין</w:t>
      </w:r>
      <w:r w:rsidR="007B1468" w:rsidRPr="00703EA1">
        <w:rPr>
          <w:rFonts w:ascii="Arial" w:hAnsi="Arial" w:hint="cs"/>
          <w:noProof w:val="0"/>
          <w:rtl/>
        </w:rPr>
        <w:t>,</w:t>
      </w:r>
      <w:r w:rsidR="00F85B95" w:rsidRPr="00703EA1">
        <w:rPr>
          <w:rFonts w:ascii="Arial" w:hAnsi="Arial" w:hint="cs"/>
          <w:noProof w:val="0"/>
          <w:rtl/>
        </w:rPr>
        <w:t xml:space="preserve"> הנושא את שמות המשפחה של שני </w:t>
      </w:r>
      <w:r w:rsidR="00084D23">
        <w:rPr>
          <w:rFonts w:ascii="Arial" w:hAnsi="Arial" w:hint="cs"/>
          <w:noProof w:val="0"/>
          <w:rtl/>
        </w:rPr>
        <w:lastRenderedPageBreak/>
        <w:t>המערערים</w:t>
      </w:r>
      <w:r w:rsidR="00FE6113">
        <w:rPr>
          <w:rFonts w:ascii="Arial" w:hAnsi="Arial" w:hint="cs"/>
          <w:noProof w:val="0"/>
          <w:rtl/>
        </w:rPr>
        <w:t xml:space="preserve"> </w:t>
      </w:r>
      <w:r w:rsidR="00F85B95" w:rsidRPr="00703EA1">
        <w:rPr>
          <w:rFonts w:ascii="Arial" w:hAnsi="Arial" w:hint="cs"/>
          <w:noProof w:val="0"/>
          <w:rtl/>
        </w:rPr>
        <w:t xml:space="preserve">כמופיע בתעודת הלידה </w:t>
      </w:r>
      <w:r w:rsidR="007B4598">
        <w:rPr>
          <w:rFonts w:ascii="Arial" w:hAnsi="Arial" w:hint="cs"/>
          <w:noProof w:val="0"/>
          <w:rtl/>
        </w:rPr>
        <w:t xml:space="preserve">של הקטין </w:t>
      </w:r>
      <w:r w:rsidR="00F85B95" w:rsidRPr="00703EA1">
        <w:rPr>
          <w:rFonts w:ascii="Arial" w:hAnsi="Arial" w:hint="cs"/>
          <w:noProof w:val="0"/>
          <w:rtl/>
        </w:rPr>
        <w:t>ובפסק הדין ו</w:t>
      </w:r>
      <w:r w:rsidR="007B1468" w:rsidRPr="00703EA1">
        <w:rPr>
          <w:rFonts w:ascii="Arial" w:hAnsi="Arial" w:hint="cs"/>
          <w:noProof w:val="0"/>
          <w:rtl/>
        </w:rPr>
        <w:t xml:space="preserve">הוא </w:t>
      </w:r>
      <w:r w:rsidR="00BC445E" w:rsidRPr="00703EA1">
        <w:rPr>
          <w:rFonts w:ascii="Arial" w:hAnsi="Arial" w:hint="cs"/>
          <w:noProof w:val="0"/>
          <w:rtl/>
        </w:rPr>
        <w:t xml:space="preserve">רשם רק שם המשפחה של ההורה הגנטי. </w:t>
      </w:r>
    </w:p>
    <w:p w:rsidR="00BC445E" w:rsidRPr="00FE6113" w:rsidRDefault="00BC445E" w:rsidP="00811A6F">
      <w:pPr>
        <w:pStyle w:val="ad"/>
        <w:spacing w:line="360" w:lineRule="auto"/>
        <w:rPr>
          <w:rFonts w:ascii="Arial" w:hAnsi="Arial"/>
          <w:noProof w:val="0"/>
          <w:rtl/>
        </w:rPr>
      </w:pPr>
    </w:p>
    <w:p w:rsidR="00BC445E" w:rsidRPr="00703EA1" w:rsidRDefault="00703EA1" w:rsidP="00811A6F">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BC445E" w:rsidRPr="00703EA1">
        <w:rPr>
          <w:rFonts w:ascii="Arial" w:hAnsi="Arial" w:hint="cs"/>
          <w:noProof w:val="0"/>
          <w:rtl/>
        </w:rPr>
        <w:t xml:space="preserve">המערערים פנו בעתירה מנהלית נגד משרד הפנים בדרישה </w:t>
      </w:r>
      <w:r w:rsidR="007B1468" w:rsidRPr="00703EA1">
        <w:rPr>
          <w:rFonts w:ascii="Arial" w:hAnsi="Arial" w:hint="cs"/>
          <w:noProof w:val="0"/>
          <w:rtl/>
        </w:rPr>
        <w:t>ש</w:t>
      </w:r>
      <w:r w:rsidR="00BC445E" w:rsidRPr="00703EA1">
        <w:rPr>
          <w:rFonts w:ascii="Arial" w:hAnsi="Arial" w:hint="cs"/>
          <w:noProof w:val="0"/>
          <w:rtl/>
        </w:rPr>
        <w:t>שני שמות המשפחה של הקטין יירשמו כפי שמצוין בתעודת הלידה ובפס</w:t>
      </w:r>
      <w:r w:rsidR="007B1468" w:rsidRPr="00703EA1">
        <w:rPr>
          <w:rFonts w:ascii="Arial" w:hAnsi="Arial" w:hint="cs"/>
          <w:noProof w:val="0"/>
          <w:rtl/>
        </w:rPr>
        <w:t>ק הדין ל</w:t>
      </w:r>
      <w:r w:rsidR="00BC445E" w:rsidRPr="00703EA1">
        <w:rPr>
          <w:rFonts w:ascii="Arial" w:hAnsi="Arial" w:hint="cs"/>
          <w:noProof w:val="0"/>
          <w:rtl/>
        </w:rPr>
        <w:t>אבהות ובית המשפט (כב' השופטת מיכל אגמון גונן בעת"מ 56941-05-21) קיבל את עתירתם ביום 13.6.22 והורה לפקיד הרישום לרשום את שני שמות המשפחה של הקטין.</w:t>
      </w:r>
    </w:p>
    <w:p w:rsidR="00BC445E" w:rsidRPr="00703EA1" w:rsidRDefault="00BC445E" w:rsidP="00811A6F">
      <w:pPr>
        <w:pStyle w:val="ad"/>
        <w:spacing w:line="360" w:lineRule="auto"/>
        <w:rPr>
          <w:rFonts w:ascii="Arial" w:hAnsi="Arial"/>
          <w:noProof w:val="0"/>
          <w:rtl/>
        </w:rPr>
      </w:pPr>
    </w:p>
    <w:p w:rsidR="006C1CD4" w:rsidRPr="00703EA1" w:rsidRDefault="00703EA1" w:rsidP="001F2B11">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00BC445E" w:rsidRPr="00703EA1">
        <w:rPr>
          <w:rFonts w:ascii="Arial" w:hAnsi="Arial" w:hint="cs"/>
          <w:noProof w:val="0"/>
          <w:rtl/>
        </w:rPr>
        <w:t xml:space="preserve">בית המשפט קמא אף העניק </w:t>
      </w:r>
      <w:r w:rsidR="001F2B11">
        <w:rPr>
          <w:rFonts w:ascii="Arial" w:hAnsi="Arial" w:hint="cs"/>
          <w:noProof w:val="0"/>
          <w:rtl/>
        </w:rPr>
        <w:t xml:space="preserve">למערער 2 </w:t>
      </w:r>
      <w:r w:rsidR="006C1CD4" w:rsidRPr="00703EA1">
        <w:rPr>
          <w:rFonts w:ascii="Arial" w:hAnsi="Arial" w:hint="cs"/>
          <w:noProof w:val="0"/>
          <w:rtl/>
        </w:rPr>
        <w:t>צו הורות פסיקתי</w:t>
      </w:r>
      <w:r w:rsidR="001F2B11">
        <w:rPr>
          <w:rFonts w:ascii="Arial" w:hAnsi="Arial" w:hint="cs"/>
          <w:noProof w:val="0"/>
          <w:rtl/>
        </w:rPr>
        <w:t xml:space="preserve"> על הקטין</w:t>
      </w:r>
      <w:r w:rsidR="006C1CD4" w:rsidRPr="00703EA1">
        <w:rPr>
          <w:rFonts w:ascii="Arial" w:hAnsi="Arial" w:hint="cs"/>
          <w:noProof w:val="0"/>
          <w:rtl/>
        </w:rPr>
        <w:t>.</w:t>
      </w:r>
    </w:p>
    <w:p w:rsidR="006C1CD4" w:rsidRPr="006C1CD4" w:rsidRDefault="006C1CD4" w:rsidP="00811A6F">
      <w:pPr>
        <w:pStyle w:val="ad"/>
        <w:spacing w:line="360" w:lineRule="auto"/>
        <w:rPr>
          <w:rFonts w:ascii="Arial" w:hAnsi="Arial"/>
          <w:noProof w:val="0"/>
          <w:rtl/>
        </w:rPr>
      </w:pPr>
    </w:p>
    <w:p w:rsidR="006C1CD4" w:rsidRPr="00703EA1" w:rsidRDefault="00703EA1" w:rsidP="00084D23">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C1CD4" w:rsidRPr="00703EA1">
        <w:rPr>
          <w:rFonts w:ascii="Arial" w:hAnsi="Arial" w:hint="cs"/>
          <w:noProof w:val="0"/>
          <w:rtl/>
        </w:rPr>
        <w:t xml:space="preserve">ביום </w:t>
      </w:r>
      <w:r w:rsidR="00084D23">
        <w:rPr>
          <w:rFonts w:ascii="Arial" w:hAnsi="Arial" w:hint="cs"/>
          <w:noProof w:val="0"/>
          <w:rtl/>
        </w:rPr>
        <w:t>25.4.22</w:t>
      </w:r>
      <w:r w:rsidR="006C1CD4" w:rsidRPr="00703EA1">
        <w:rPr>
          <w:rFonts w:ascii="Arial" w:hAnsi="Arial" w:hint="cs"/>
          <w:noProof w:val="0"/>
          <w:rtl/>
        </w:rPr>
        <w:t xml:space="preserve"> נולדה למערערים קטינה בהליך פונדקאות </w:t>
      </w:r>
      <w:r w:rsidR="001F2B11">
        <w:rPr>
          <w:rFonts w:ascii="Arial" w:hAnsi="Arial" w:hint="cs"/>
          <w:noProof w:val="0"/>
          <w:rtl/>
        </w:rPr>
        <w:t xml:space="preserve">שנערך </w:t>
      </w:r>
      <w:r w:rsidR="006C1CD4" w:rsidRPr="00703EA1">
        <w:rPr>
          <w:rFonts w:ascii="Arial" w:hAnsi="Arial" w:hint="cs"/>
          <w:noProof w:val="0"/>
          <w:rtl/>
        </w:rPr>
        <w:t xml:space="preserve">בקנדה, באמצעות אותה </w:t>
      </w:r>
      <w:r w:rsidR="007B1468" w:rsidRPr="00703EA1">
        <w:rPr>
          <w:rFonts w:ascii="Arial" w:hAnsi="Arial" w:hint="cs"/>
          <w:noProof w:val="0"/>
          <w:rtl/>
        </w:rPr>
        <w:t xml:space="preserve">אם </w:t>
      </w:r>
      <w:r w:rsidR="006C1CD4" w:rsidRPr="00703EA1">
        <w:rPr>
          <w:rFonts w:ascii="Arial" w:hAnsi="Arial" w:hint="cs"/>
          <w:noProof w:val="0"/>
          <w:rtl/>
        </w:rPr>
        <w:t xml:space="preserve">פונדקאית שילדה את הקטין (להלן: </w:t>
      </w:r>
      <w:r w:rsidR="006C1CD4" w:rsidRPr="00703EA1">
        <w:rPr>
          <w:rFonts w:ascii="Arial" w:hAnsi="Arial" w:hint="cs"/>
          <w:b/>
          <w:bCs/>
          <w:noProof w:val="0"/>
          <w:rtl/>
        </w:rPr>
        <w:t>הקטינה</w:t>
      </w:r>
      <w:r w:rsidR="006C1CD4" w:rsidRPr="00703EA1">
        <w:rPr>
          <w:rFonts w:ascii="Arial" w:hAnsi="Arial" w:hint="cs"/>
          <w:noProof w:val="0"/>
          <w:rtl/>
        </w:rPr>
        <w:t>).</w:t>
      </w:r>
    </w:p>
    <w:p w:rsidR="006C1CD4" w:rsidRPr="00703EA1" w:rsidRDefault="006C1CD4" w:rsidP="00811A6F">
      <w:pPr>
        <w:pStyle w:val="ad"/>
        <w:spacing w:line="360" w:lineRule="auto"/>
        <w:rPr>
          <w:rFonts w:ascii="Arial" w:hAnsi="Arial"/>
          <w:noProof w:val="0"/>
          <w:rtl/>
        </w:rPr>
      </w:pPr>
    </w:p>
    <w:p w:rsidR="00467D9D" w:rsidRPr="00703EA1" w:rsidRDefault="00703EA1" w:rsidP="007B4598">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7B1468" w:rsidRPr="00703EA1">
        <w:rPr>
          <w:rFonts w:ascii="Arial" w:hAnsi="Arial" w:hint="cs"/>
          <w:noProof w:val="0"/>
          <w:rtl/>
        </w:rPr>
        <w:t xml:space="preserve">עוד טרם לידת הקטינה, בחודש פברואר 2022, </w:t>
      </w:r>
      <w:r w:rsidR="006C1CD4" w:rsidRPr="00703EA1">
        <w:rPr>
          <w:rFonts w:ascii="Arial" w:hAnsi="Arial" w:hint="cs"/>
          <w:noProof w:val="0"/>
          <w:rtl/>
        </w:rPr>
        <w:t xml:space="preserve">המערערים הגישו לבית המשפט קמא </w:t>
      </w:r>
      <w:r w:rsidR="007B1468" w:rsidRPr="00703EA1">
        <w:rPr>
          <w:rFonts w:ascii="Arial" w:hAnsi="Arial" w:hint="cs"/>
          <w:noProof w:val="0"/>
          <w:rtl/>
        </w:rPr>
        <w:t xml:space="preserve">תביעת אבהות שבמסגרתה ביקשו עריכת בדיקת </w:t>
      </w:r>
      <w:r w:rsidR="006C1CD4" w:rsidRPr="00703EA1">
        <w:rPr>
          <w:rFonts w:ascii="Arial" w:hAnsi="Arial" w:hint="cs"/>
          <w:noProof w:val="0"/>
          <w:rtl/>
        </w:rPr>
        <w:t>סיווג רקמות לצורך קביעת אבהות באופן שהבדיקה תהיה "עיוורת"</w:t>
      </w:r>
      <w:r w:rsidR="00A97794" w:rsidRPr="00703EA1">
        <w:rPr>
          <w:rFonts w:ascii="Arial" w:hAnsi="Arial" w:hint="cs"/>
          <w:noProof w:val="0"/>
          <w:rtl/>
        </w:rPr>
        <w:t xml:space="preserve">. דהיינו, </w:t>
      </w:r>
      <w:r w:rsidR="007B1468" w:rsidRPr="00703EA1">
        <w:rPr>
          <w:rFonts w:ascii="Arial" w:hAnsi="Arial" w:hint="cs"/>
          <w:noProof w:val="0"/>
          <w:rtl/>
        </w:rPr>
        <w:t>ש</w:t>
      </w:r>
      <w:r w:rsidR="00A97794" w:rsidRPr="00703EA1">
        <w:rPr>
          <w:rFonts w:ascii="Arial" w:hAnsi="Arial" w:hint="cs"/>
          <w:noProof w:val="0"/>
          <w:rtl/>
        </w:rPr>
        <w:t>תילקחנה דגימות משני המערערים והקטינה</w:t>
      </w:r>
      <w:r w:rsidR="00B155FA" w:rsidRPr="00703EA1">
        <w:rPr>
          <w:rFonts w:ascii="Arial" w:hAnsi="Arial" w:hint="cs"/>
          <w:noProof w:val="0"/>
          <w:rtl/>
        </w:rPr>
        <w:t xml:space="preserve"> ואולם התוצאה לא תתייחס למי מה</w:t>
      </w:r>
      <w:r w:rsidR="007B1468" w:rsidRPr="00703EA1">
        <w:rPr>
          <w:rFonts w:ascii="Arial" w:hAnsi="Arial" w:hint="cs"/>
          <w:noProof w:val="0"/>
          <w:rtl/>
        </w:rPr>
        <w:t>מערערים</w:t>
      </w:r>
      <w:r w:rsidR="00B155FA" w:rsidRPr="00703EA1">
        <w:rPr>
          <w:rFonts w:ascii="Arial" w:hAnsi="Arial" w:hint="cs"/>
          <w:noProof w:val="0"/>
          <w:rtl/>
        </w:rPr>
        <w:t xml:space="preserve"> בנפרד ובחוות הדעת לא יפורט מי ההורה הגנטי של הקטינה ויינתן פסק דין שקובע שלקטינה יש זיקה גנטית לאחד מהמערערים, מבלי לציין למי מהם באופן ספציפי (להלן: </w:t>
      </w:r>
      <w:r w:rsidR="00B155FA" w:rsidRPr="00703EA1">
        <w:rPr>
          <w:rFonts w:ascii="Arial" w:hAnsi="Arial" w:hint="cs"/>
          <w:b/>
          <w:bCs/>
          <w:noProof w:val="0"/>
          <w:rtl/>
        </w:rPr>
        <w:t>הבדיקה העיוורת</w:t>
      </w:r>
      <w:r w:rsidR="00B155FA" w:rsidRPr="00703EA1">
        <w:rPr>
          <w:rFonts w:ascii="Arial" w:hAnsi="Arial" w:hint="cs"/>
          <w:noProof w:val="0"/>
          <w:rtl/>
        </w:rPr>
        <w:t>).</w:t>
      </w:r>
      <w:r w:rsidR="00A97794" w:rsidRPr="00703EA1">
        <w:rPr>
          <w:rFonts w:ascii="Arial" w:hAnsi="Arial" w:hint="cs"/>
          <w:noProof w:val="0"/>
          <w:rtl/>
        </w:rPr>
        <w:t xml:space="preserve"> </w:t>
      </w:r>
      <w:r w:rsidR="00B155FA" w:rsidRPr="00703EA1">
        <w:rPr>
          <w:rFonts w:ascii="Arial" w:hAnsi="Arial" w:hint="cs"/>
          <w:noProof w:val="0"/>
          <w:rtl/>
        </w:rPr>
        <w:t>המערערים טענו שהם אינם רוצים שפרטיותם תפגע והם לא מעוניינים שהמידע בדבר זהות ההורה הגנטי תיחשף בפני בית המשפט או המשיבה. לד</w:t>
      </w:r>
      <w:r w:rsidR="003F42E2" w:rsidRPr="00703EA1">
        <w:rPr>
          <w:rFonts w:ascii="Arial" w:hAnsi="Arial" w:hint="cs"/>
          <w:noProof w:val="0"/>
          <w:rtl/>
        </w:rPr>
        <w:t xml:space="preserve">בריהם, יש לשמור על צנעת הפרט שלהם ולהגן על האוטונומיה ההורית שלהם. </w:t>
      </w:r>
      <w:r w:rsidR="006C1CD4" w:rsidRPr="00703EA1">
        <w:rPr>
          <w:rFonts w:ascii="Arial" w:hAnsi="Arial" w:hint="cs"/>
          <w:noProof w:val="0"/>
          <w:rtl/>
        </w:rPr>
        <w:t>המשיב</w:t>
      </w:r>
      <w:r w:rsidR="00991AB9" w:rsidRPr="00703EA1">
        <w:rPr>
          <w:rFonts w:ascii="Arial" w:hAnsi="Arial" w:hint="cs"/>
          <w:noProof w:val="0"/>
          <w:rtl/>
        </w:rPr>
        <w:t>ה</w:t>
      </w:r>
      <w:r w:rsidR="006C1CD4" w:rsidRPr="00703EA1">
        <w:rPr>
          <w:rFonts w:ascii="Arial" w:hAnsi="Arial" w:hint="cs"/>
          <w:noProof w:val="0"/>
          <w:rtl/>
        </w:rPr>
        <w:t xml:space="preserve"> התנג</w:t>
      </w:r>
      <w:r w:rsidR="00991AB9" w:rsidRPr="00703EA1">
        <w:rPr>
          <w:rFonts w:ascii="Arial" w:hAnsi="Arial" w:hint="cs"/>
          <w:noProof w:val="0"/>
          <w:rtl/>
        </w:rPr>
        <w:t>דה</w:t>
      </w:r>
      <w:r w:rsidR="006C1CD4" w:rsidRPr="00703EA1">
        <w:rPr>
          <w:rFonts w:ascii="Arial" w:hAnsi="Arial" w:hint="cs"/>
          <w:noProof w:val="0"/>
          <w:rtl/>
        </w:rPr>
        <w:t xml:space="preserve"> לקיום בדיקה "עיוורת" ובית המשפט קמא קיבל את עמדת המשיב</w:t>
      </w:r>
      <w:r w:rsidR="00991AB9" w:rsidRPr="00703EA1">
        <w:rPr>
          <w:rFonts w:ascii="Arial" w:hAnsi="Arial" w:hint="cs"/>
          <w:noProof w:val="0"/>
          <w:rtl/>
        </w:rPr>
        <w:t>ה</w:t>
      </w:r>
      <w:r w:rsidR="006C1CD4" w:rsidRPr="00703EA1">
        <w:rPr>
          <w:rFonts w:ascii="Arial" w:hAnsi="Arial" w:hint="cs"/>
          <w:noProof w:val="0"/>
          <w:rtl/>
        </w:rPr>
        <w:t xml:space="preserve"> </w:t>
      </w:r>
      <w:r w:rsidR="00991AB9" w:rsidRPr="00703EA1">
        <w:rPr>
          <w:rFonts w:ascii="Arial" w:hAnsi="Arial" w:hint="cs"/>
          <w:noProof w:val="0"/>
          <w:rtl/>
        </w:rPr>
        <w:t>ו</w:t>
      </w:r>
      <w:r w:rsidR="006C1CD4" w:rsidRPr="00703EA1">
        <w:rPr>
          <w:rFonts w:ascii="Arial" w:hAnsi="Arial" w:hint="cs"/>
          <w:noProof w:val="0"/>
          <w:rtl/>
        </w:rPr>
        <w:t>קבע בהחלטתו מי</w:t>
      </w:r>
      <w:r w:rsidR="00991AB9" w:rsidRPr="00703EA1">
        <w:rPr>
          <w:rFonts w:ascii="Arial" w:hAnsi="Arial" w:hint="cs"/>
          <w:noProof w:val="0"/>
          <w:rtl/>
        </w:rPr>
        <w:t xml:space="preserve">ום 8.11.22 (להלן: </w:t>
      </w:r>
      <w:r w:rsidR="00991AB9" w:rsidRPr="00703EA1">
        <w:rPr>
          <w:rFonts w:ascii="Arial" w:hAnsi="Arial" w:hint="cs"/>
          <w:b/>
          <w:bCs/>
          <w:noProof w:val="0"/>
          <w:rtl/>
        </w:rPr>
        <w:t>ההחלטה</w:t>
      </w:r>
      <w:r w:rsidR="00991AB9" w:rsidRPr="00703EA1">
        <w:rPr>
          <w:rFonts w:ascii="Arial" w:hAnsi="Arial" w:hint="cs"/>
          <w:noProof w:val="0"/>
          <w:rtl/>
        </w:rPr>
        <w:t xml:space="preserve">) שיש לבצע בדיקת אבהות רגילה </w:t>
      </w:r>
      <w:r w:rsidR="007B4598">
        <w:rPr>
          <w:rFonts w:ascii="Arial" w:hAnsi="Arial" w:hint="cs"/>
          <w:noProof w:val="0"/>
          <w:rtl/>
        </w:rPr>
        <w:t xml:space="preserve">לאב הגנטי ולקטינה </w:t>
      </w:r>
      <w:r w:rsidR="00991AB9" w:rsidRPr="00703EA1">
        <w:rPr>
          <w:rFonts w:ascii="Arial" w:hAnsi="Arial" w:hint="cs"/>
          <w:noProof w:val="0"/>
          <w:rtl/>
        </w:rPr>
        <w:t>ו</w:t>
      </w:r>
      <w:r w:rsidR="007B4598">
        <w:rPr>
          <w:rFonts w:ascii="Arial" w:hAnsi="Arial" w:hint="cs"/>
          <w:noProof w:val="0"/>
          <w:rtl/>
        </w:rPr>
        <w:t xml:space="preserve">אין לערוך בדיקה </w:t>
      </w:r>
      <w:r w:rsidR="00B155FA" w:rsidRPr="00703EA1">
        <w:rPr>
          <w:rFonts w:ascii="Arial" w:hAnsi="Arial" w:hint="cs"/>
          <w:noProof w:val="0"/>
          <w:rtl/>
        </w:rPr>
        <w:t>עיוורת</w:t>
      </w:r>
      <w:r w:rsidR="00991AB9" w:rsidRPr="00703EA1">
        <w:rPr>
          <w:rFonts w:ascii="Arial" w:hAnsi="Arial" w:hint="cs"/>
          <w:noProof w:val="0"/>
          <w:rtl/>
        </w:rPr>
        <w:t xml:space="preserve">. </w:t>
      </w:r>
    </w:p>
    <w:p w:rsidR="00467D9D" w:rsidRPr="00467D9D" w:rsidRDefault="00467D9D" w:rsidP="00811A6F">
      <w:pPr>
        <w:pStyle w:val="ad"/>
        <w:spacing w:line="360" w:lineRule="auto"/>
        <w:rPr>
          <w:rFonts w:ascii="Arial" w:hAnsi="Arial"/>
          <w:noProof w:val="0"/>
          <w:rtl/>
        </w:rPr>
      </w:pPr>
    </w:p>
    <w:p w:rsidR="00467D9D" w:rsidRPr="00703EA1" w:rsidRDefault="00703EA1" w:rsidP="00811A6F">
      <w:pPr>
        <w:spacing w:line="360" w:lineRule="auto"/>
        <w:jc w:val="both"/>
        <w:rPr>
          <w:rFonts w:ascii="Arial" w:hAnsi="Arial"/>
          <w:noProof w:val="0"/>
        </w:rPr>
      </w:pPr>
      <w:r>
        <w:rPr>
          <w:rFonts w:ascii="Arial" w:hAnsi="Arial" w:hint="cs"/>
          <w:noProof w:val="0"/>
          <w:rtl/>
        </w:rPr>
        <w:t>8.</w:t>
      </w:r>
      <w:r>
        <w:rPr>
          <w:rFonts w:ascii="Arial" w:hAnsi="Arial" w:hint="cs"/>
          <w:noProof w:val="0"/>
          <w:rtl/>
        </w:rPr>
        <w:tab/>
      </w:r>
      <w:r w:rsidR="00467D9D" w:rsidRPr="00703EA1">
        <w:rPr>
          <w:rFonts w:ascii="Arial" w:hAnsi="Arial" w:hint="cs"/>
          <w:noProof w:val="0"/>
          <w:rtl/>
        </w:rPr>
        <w:t>בהחלטה נקבע בין היתר כי:</w:t>
      </w:r>
    </w:p>
    <w:p w:rsidR="00467D9D" w:rsidRPr="00467D9D" w:rsidRDefault="00467D9D" w:rsidP="00811A6F">
      <w:pPr>
        <w:pStyle w:val="ad"/>
        <w:spacing w:line="360" w:lineRule="auto"/>
        <w:rPr>
          <w:rFonts w:ascii="Arial" w:hAnsi="Arial"/>
          <w:noProof w:val="0"/>
          <w:rtl/>
        </w:rPr>
      </w:pPr>
    </w:p>
    <w:p w:rsidR="00467D9D" w:rsidRPr="007B1468" w:rsidRDefault="00467D9D" w:rsidP="00811A6F">
      <w:pPr>
        <w:spacing w:line="360" w:lineRule="auto"/>
        <w:ind w:left="720"/>
        <w:jc w:val="both"/>
        <w:rPr>
          <w:rFonts w:ascii="Arial" w:hAnsi="Arial"/>
          <w:b/>
          <w:bCs/>
          <w:noProof w:val="0"/>
        </w:rPr>
      </w:pPr>
      <w:r>
        <w:rPr>
          <w:rFonts w:ascii="Arial" w:hAnsi="Arial" w:hint="cs"/>
          <w:noProof w:val="0"/>
          <w:rtl/>
        </w:rPr>
        <w:t>"</w:t>
      </w:r>
      <w:r w:rsidRPr="007B1468">
        <w:rPr>
          <w:rFonts w:ascii="Arial" w:hAnsi="Arial" w:hint="cs"/>
          <w:b/>
          <w:bCs/>
          <w:noProof w:val="0"/>
          <w:rtl/>
        </w:rPr>
        <w:t>ההליך מתנהל בדלתיים סגורות כך שפרטי המערערים ו</w:t>
      </w:r>
      <w:r w:rsidR="00EF62AB">
        <w:rPr>
          <w:rFonts w:ascii="Arial" w:hAnsi="Arial" w:hint="cs"/>
          <w:b/>
          <w:bCs/>
          <w:noProof w:val="0"/>
          <w:rtl/>
        </w:rPr>
        <w:t>הקטינה לא יהיו גלויים לציבור...</w:t>
      </w:r>
      <w:r w:rsidRPr="007B1468">
        <w:rPr>
          <w:rFonts w:ascii="Arial" w:hAnsi="Arial" w:hint="cs"/>
          <w:b/>
          <w:bCs/>
          <w:noProof w:val="0"/>
          <w:rtl/>
        </w:rPr>
        <w:t xml:space="preserve"> </w:t>
      </w:r>
    </w:p>
    <w:p w:rsidR="00467D9D" w:rsidRPr="007B1468" w:rsidRDefault="00467D9D" w:rsidP="00811A6F">
      <w:pPr>
        <w:spacing w:line="360" w:lineRule="auto"/>
        <w:ind w:left="720"/>
        <w:jc w:val="both"/>
        <w:rPr>
          <w:rFonts w:ascii="Arial" w:hAnsi="Arial"/>
          <w:b/>
          <w:bCs/>
          <w:noProof w:val="0"/>
        </w:rPr>
      </w:pPr>
      <w:r w:rsidRPr="007B1468">
        <w:rPr>
          <w:rFonts w:ascii="Arial" w:hAnsi="Arial"/>
          <w:b/>
          <w:bCs/>
          <w:noProof w:val="0"/>
          <w:rtl/>
        </w:rPr>
        <w:t xml:space="preserve">זכותה של הקטינה וטובתה לדעת מי הוריה, מה הקשר שלה עם כל אחד מהם, כיצד נוצרה ושאר נסיבות חייה. זכותה של הקטינה לדעת למי מהוריה (ככל שיינתן צו הורות פסיקתי) יש קשר גנטי אליה ולמי אין. אין בכך כדי לפגוע במערכת היחסים של הקטינה למי מהוריה, יחסים אלה נוצרים על ידי ההורה הבוגר: ככל שההורה ייטיב לטפל בקטינה וימלא את  חובותיו כלפיה, ככל שירעיף עליה אהבה ויפעל לחינוכה וליצירת קשר </w:t>
      </w:r>
      <w:r w:rsidRPr="007B1468">
        <w:rPr>
          <w:rFonts w:ascii="Arial" w:hAnsi="Arial"/>
          <w:b/>
          <w:bCs/>
          <w:noProof w:val="0"/>
          <w:rtl/>
        </w:rPr>
        <w:lastRenderedPageBreak/>
        <w:t xml:space="preserve">קרוב ועמוק עמה, כך גדלים סיכוייו של ההורה, גנטי או לא, לקבל אהבה אין סופית מהקטינה. </w:t>
      </w:r>
    </w:p>
    <w:p w:rsidR="001628F2" w:rsidRPr="007B1468" w:rsidRDefault="00467D9D" w:rsidP="00811A6F">
      <w:pPr>
        <w:spacing w:line="360" w:lineRule="auto"/>
        <w:ind w:left="720"/>
        <w:jc w:val="both"/>
        <w:rPr>
          <w:rFonts w:ascii="Arial" w:hAnsi="Arial"/>
          <w:b/>
          <w:bCs/>
          <w:noProof w:val="0"/>
        </w:rPr>
      </w:pPr>
      <w:r w:rsidRPr="007B1468">
        <w:rPr>
          <w:rFonts w:ascii="Arial" w:hAnsi="Arial"/>
          <w:b/>
          <w:bCs/>
          <w:noProof w:val="0"/>
          <w:rtl/>
        </w:rPr>
        <w:t>כל המחקרים העוסקים בהורות ממליצים לספק לילד את האמת ולחנכו להיות גאה במוצאו ובנסיבות חייו. כך לדוגמא בהליך אימוץ, ההמלצה המקצועית היא לספר למאומץ את האמת, שידע שלהוריו אין זיקה גנטית כלפיו. איני מקבל את טענת המבקשים כי תצמח טובה לקטינה מהסתרת המידע ממנה. כאמור, ככל שהמבקשים יטיבו לשמש הורים אוהבים ומטפחים, הקטינה תוכל להתייחס אל שניהם כאל הוריה האהובים גם כאשר היא מודעת לקשר הגנטי שלה לאחד מהם. מקובלת עלי עמדת המשיב כי לעיתים יש הכרח לדעת את הקשר הגנטי, לצורך טיפולים רפואיים עתידיים שמא יתעוררו אצל הקטינה. אני מוצא חשיבות רבה לעצם זכותה של הקטינה לדעת את מלוא הפרטים אודות נסיבות חייה כאשר הזיקה הגנטית היא מידע חשוב ומשמעותי ביותר בחייו של כל אדם וזכותה של הקטינה להיחשף לכך</w:t>
      </w:r>
      <w:r w:rsidR="001628F2" w:rsidRPr="007B1468">
        <w:rPr>
          <w:rFonts w:ascii="Arial" w:hAnsi="Arial" w:hint="cs"/>
          <w:b/>
          <w:bCs/>
          <w:noProof w:val="0"/>
          <w:rtl/>
        </w:rPr>
        <w:t>...</w:t>
      </w:r>
      <w:r w:rsidR="001628F2" w:rsidRPr="007B1468">
        <w:rPr>
          <w:rFonts w:ascii="Arial" w:hAnsi="Arial"/>
          <w:b/>
          <w:bCs/>
          <w:noProof w:val="0"/>
          <w:rtl/>
        </w:rPr>
        <w:t xml:space="preserve"> משכך, איני מוצא</w:t>
      </w:r>
      <w:r w:rsidR="001628F2" w:rsidRPr="007B1468">
        <w:rPr>
          <w:rFonts w:ascii="Arial" w:hAnsi="Arial"/>
          <w:noProof w:val="0"/>
          <w:rtl/>
        </w:rPr>
        <w:t xml:space="preserve"> </w:t>
      </w:r>
      <w:r w:rsidR="001628F2" w:rsidRPr="007B1468">
        <w:rPr>
          <w:rFonts w:ascii="Arial" w:hAnsi="Arial"/>
          <w:b/>
          <w:bCs/>
          <w:noProof w:val="0"/>
          <w:rtl/>
        </w:rPr>
        <w:t>מדוע לשלול מהקטינה את המידע כאשר על פניו לא אמור להיגרם לה כל נזק מחשיפתו</w:t>
      </w:r>
      <w:r w:rsidR="001628F2" w:rsidRPr="00811A6F">
        <w:rPr>
          <w:rFonts w:ascii="Arial" w:hAnsi="Arial" w:hint="cs"/>
          <w:noProof w:val="0"/>
          <w:rtl/>
        </w:rPr>
        <w:t>"</w:t>
      </w:r>
      <w:r w:rsidR="001628F2" w:rsidRPr="00811A6F">
        <w:rPr>
          <w:rFonts w:ascii="Arial" w:hAnsi="Arial"/>
          <w:noProof w:val="0"/>
          <w:rtl/>
        </w:rPr>
        <w:t>.</w:t>
      </w:r>
      <w:r w:rsidR="001628F2" w:rsidRPr="007B1468">
        <w:rPr>
          <w:rFonts w:ascii="Arial" w:hAnsi="Arial"/>
          <w:b/>
          <w:bCs/>
          <w:noProof w:val="0"/>
          <w:rtl/>
        </w:rPr>
        <w:t xml:space="preserve"> </w:t>
      </w:r>
    </w:p>
    <w:p w:rsidR="00467D9D" w:rsidRPr="00467D9D" w:rsidRDefault="00467D9D" w:rsidP="00811A6F">
      <w:pPr>
        <w:spacing w:line="360" w:lineRule="auto"/>
        <w:ind w:left="360"/>
        <w:jc w:val="both"/>
        <w:rPr>
          <w:rFonts w:ascii="Arial" w:hAnsi="Arial"/>
          <w:noProof w:val="0"/>
          <w:rtl/>
        </w:rPr>
      </w:pPr>
      <w:r w:rsidRPr="00E75C7A">
        <w:rPr>
          <w:rFonts w:ascii="Arial" w:hAnsi="Arial" w:hint="cs"/>
          <w:noProof w:val="0"/>
          <w:rtl/>
        </w:rPr>
        <w:t xml:space="preserve">      </w:t>
      </w:r>
    </w:p>
    <w:p w:rsidR="00991AB9" w:rsidRPr="00703EA1" w:rsidRDefault="00703EA1" w:rsidP="001F2B11">
      <w:pPr>
        <w:spacing w:line="360" w:lineRule="auto"/>
        <w:ind w:left="720" w:hanging="720"/>
        <w:jc w:val="both"/>
        <w:rPr>
          <w:rFonts w:ascii="Arial" w:hAnsi="Arial"/>
          <w:b/>
          <w:bCs/>
          <w:noProof w:val="0"/>
        </w:rPr>
      </w:pPr>
      <w:r>
        <w:rPr>
          <w:rFonts w:ascii="Arial" w:hAnsi="Arial" w:hint="cs"/>
          <w:noProof w:val="0"/>
          <w:rtl/>
        </w:rPr>
        <w:t>9.</w:t>
      </w:r>
      <w:r>
        <w:rPr>
          <w:rFonts w:ascii="Arial" w:hAnsi="Arial" w:hint="cs"/>
          <w:noProof w:val="0"/>
          <w:rtl/>
        </w:rPr>
        <w:tab/>
      </w:r>
      <w:r w:rsidR="00991AB9" w:rsidRPr="00703EA1">
        <w:rPr>
          <w:rFonts w:ascii="Arial" w:hAnsi="Arial" w:hint="cs"/>
          <w:noProof w:val="0"/>
          <w:rtl/>
        </w:rPr>
        <w:t>בסיום ההחלטה נקבע כי ככל שלא תוגש בתוך 30 יום פסיקת</w:t>
      </w:r>
      <w:r w:rsidR="001F2B11">
        <w:rPr>
          <w:rFonts w:ascii="Arial" w:hAnsi="Arial" w:hint="cs"/>
          <w:noProof w:val="0"/>
          <w:rtl/>
        </w:rPr>
        <w:t>ה</w:t>
      </w:r>
      <w:r w:rsidR="00991AB9" w:rsidRPr="00703EA1">
        <w:rPr>
          <w:rFonts w:ascii="Arial" w:hAnsi="Arial" w:hint="cs"/>
          <w:noProof w:val="0"/>
          <w:rtl/>
        </w:rPr>
        <w:t xml:space="preserve"> לחתימה "</w:t>
      </w:r>
      <w:r w:rsidR="00991AB9" w:rsidRPr="00703EA1">
        <w:rPr>
          <w:rFonts w:ascii="Arial" w:hAnsi="Arial" w:hint="cs"/>
          <w:b/>
          <w:bCs/>
          <w:noProof w:val="0"/>
          <w:rtl/>
        </w:rPr>
        <w:t>ייסגר התיק מחוסר מעש ללא הודעה נוספת</w:t>
      </w:r>
      <w:r w:rsidR="00991AB9" w:rsidRPr="00811A6F">
        <w:rPr>
          <w:rFonts w:ascii="Arial" w:hAnsi="Arial" w:hint="cs"/>
          <w:noProof w:val="0"/>
          <w:rtl/>
        </w:rPr>
        <w:t>".</w:t>
      </w:r>
    </w:p>
    <w:p w:rsidR="00991AB9" w:rsidRPr="001F2B11" w:rsidRDefault="00991AB9" w:rsidP="00811A6F">
      <w:pPr>
        <w:pStyle w:val="ad"/>
        <w:spacing w:line="360" w:lineRule="auto"/>
        <w:rPr>
          <w:rFonts w:ascii="Arial" w:hAnsi="Arial"/>
          <w:noProof w:val="0"/>
          <w:rtl/>
        </w:rPr>
      </w:pPr>
    </w:p>
    <w:p w:rsidR="00991AB9" w:rsidRPr="00703EA1" w:rsidRDefault="00703EA1" w:rsidP="001F2B11">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991AB9" w:rsidRPr="00703EA1">
        <w:rPr>
          <w:rFonts w:ascii="Arial" w:hAnsi="Arial" w:hint="cs"/>
          <w:noProof w:val="0"/>
          <w:rtl/>
        </w:rPr>
        <w:t xml:space="preserve">המערערים הגישו בקשת רשות ערעור על ההחלטה </w:t>
      </w:r>
      <w:r w:rsidR="007B1468" w:rsidRPr="00703EA1">
        <w:rPr>
          <w:rFonts w:ascii="Arial" w:hAnsi="Arial" w:hint="cs"/>
          <w:noProof w:val="0"/>
          <w:rtl/>
        </w:rPr>
        <w:t xml:space="preserve">ביום 8.12.12 </w:t>
      </w:r>
      <w:r w:rsidR="00991AB9" w:rsidRPr="00703EA1">
        <w:rPr>
          <w:rFonts w:ascii="Arial" w:hAnsi="Arial" w:hint="cs"/>
          <w:noProof w:val="0"/>
          <w:rtl/>
        </w:rPr>
        <w:t>ואולם משהם לא הגישו פסיקת</w:t>
      </w:r>
      <w:r w:rsidR="001F2B11">
        <w:rPr>
          <w:rFonts w:ascii="Arial" w:hAnsi="Arial" w:hint="cs"/>
          <w:noProof w:val="0"/>
          <w:rtl/>
        </w:rPr>
        <w:t>ה</w:t>
      </w:r>
      <w:r w:rsidR="00991AB9" w:rsidRPr="00703EA1">
        <w:rPr>
          <w:rFonts w:ascii="Arial" w:hAnsi="Arial" w:hint="cs"/>
          <w:noProof w:val="0"/>
          <w:rtl/>
        </w:rPr>
        <w:t xml:space="preserve"> לחתימה, ניתן ביום 11.12.22 פסק דין המוחק את התביעה מחוסר מעש (להלן: </w:t>
      </w:r>
      <w:r w:rsidR="00991AB9" w:rsidRPr="00703EA1">
        <w:rPr>
          <w:rFonts w:ascii="Arial" w:hAnsi="Arial" w:hint="cs"/>
          <w:b/>
          <w:bCs/>
          <w:noProof w:val="0"/>
          <w:rtl/>
        </w:rPr>
        <w:t>פסק הדין</w:t>
      </w:r>
      <w:r w:rsidR="00991AB9" w:rsidRPr="00703EA1">
        <w:rPr>
          <w:rFonts w:ascii="Arial" w:hAnsi="Arial" w:hint="cs"/>
          <w:noProof w:val="0"/>
          <w:rtl/>
        </w:rPr>
        <w:t>).</w:t>
      </w:r>
    </w:p>
    <w:p w:rsidR="00991AB9" w:rsidRPr="001F2B11" w:rsidRDefault="00991AB9" w:rsidP="00811A6F">
      <w:pPr>
        <w:pStyle w:val="ad"/>
        <w:spacing w:line="360" w:lineRule="auto"/>
        <w:rPr>
          <w:rFonts w:ascii="Arial" w:hAnsi="Arial"/>
          <w:noProof w:val="0"/>
          <w:rtl/>
        </w:rPr>
      </w:pPr>
    </w:p>
    <w:p w:rsidR="00991AB9" w:rsidRPr="00703EA1" w:rsidRDefault="00703EA1" w:rsidP="00811A6F">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7B1468" w:rsidRPr="00703EA1">
        <w:rPr>
          <w:rFonts w:ascii="Arial" w:hAnsi="Arial" w:hint="cs"/>
          <w:noProof w:val="0"/>
          <w:rtl/>
        </w:rPr>
        <w:t>לאחר שניתן פסק הדין, הורה בית משפט זה על מחיקת בקשת רשות הערעור היות שהיא נבלעה בפסק הדין ו</w:t>
      </w:r>
      <w:r w:rsidR="00991AB9" w:rsidRPr="00703EA1">
        <w:rPr>
          <w:rFonts w:ascii="Arial" w:hAnsi="Arial" w:hint="cs"/>
          <w:noProof w:val="0"/>
          <w:rtl/>
        </w:rPr>
        <w:t>המערערים הגישו את הערעור שלפנינו</w:t>
      </w:r>
      <w:r w:rsidR="007B1468" w:rsidRPr="00703EA1">
        <w:rPr>
          <w:rFonts w:ascii="Arial" w:hAnsi="Arial" w:hint="cs"/>
          <w:noProof w:val="0"/>
          <w:rtl/>
        </w:rPr>
        <w:t xml:space="preserve"> הן על פסק הדין והן על ההחלטה</w:t>
      </w:r>
      <w:r w:rsidR="00991AB9" w:rsidRPr="00703EA1">
        <w:rPr>
          <w:rFonts w:ascii="Arial" w:hAnsi="Arial" w:hint="cs"/>
          <w:noProof w:val="0"/>
          <w:rtl/>
        </w:rPr>
        <w:t>.</w:t>
      </w:r>
    </w:p>
    <w:p w:rsidR="00991AB9" w:rsidRPr="00703EA1" w:rsidRDefault="00991AB9" w:rsidP="00811A6F">
      <w:pPr>
        <w:pStyle w:val="ad"/>
        <w:spacing w:line="360" w:lineRule="auto"/>
        <w:rPr>
          <w:rFonts w:ascii="Arial" w:hAnsi="Arial"/>
          <w:noProof w:val="0"/>
          <w:rtl/>
        </w:rPr>
      </w:pPr>
    </w:p>
    <w:p w:rsidR="00694556" w:rsidRPr="00703EA1" w:rsidRDefault="00703EA1" w:rsidP="00811A6F">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E75C7A" w:rsidRPr="00703EA1">
        <w:rPr>
          <w:rFonts w:ascii="Arial" w:hAnsi="Arial" w:hint="cs"/>
          <w:b/>
          <w:bCs/>
          <w:noProof w:val="0"/>
          <w:rtl/>
        </w:rPr>
        <w:t>תמצית טענות המערערים</w:t>
      </w:r>
    </w:p>
    <w:p w:rsidR="00E75C7A" w:rsidRDefault="00E75C7A" w:rsidP="00811A6F">
      <w:pPr>
        <w:spacing w:line="360" w:lineRule="auto"/>
        <w:jc w:val="both"/>
        <w:rPr>
          <w:rFonts w:ascii="Arial" w:hAnsi="Arial"/>
          <w:noProof w:val="0"/>
          <w:rtl/>
        </w:rPr>
      </w:pPr>
    </w:p>
    <w:p w:rsidR="007E10A6" w:rsidRPr="00703EA1" w:rsidRDefault="00703EA1" w:rsidP="00811A6F">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F3785" w:rsidRPr="00703EA1">
        <w:rPr>
          <w:rFonts w:ascii="Arial" w:hAnsi="Arial" w:hint="cs"/>
          <w:noProof w:val="0"/>
          <w:rtl/>
        </w:rPr>
        <w:t xml:space="preserve">קבלת עתירת המערערים תביא ל"נטרול העדפה להורה </w:t>
      </w:r>
      <w:r w:rsidR="007E10A6" w:rsidRPr="00703EA1">
        <w:rPr>
          <w:rFonts w:ascii="Arial" w:hAnsi="Arial" w:hint="cs"/>
          <w:noProof w:val="0"/>
          <w:rtl/>
        </w:rPr>
        <w:t>בעל הזיקה הגנטית והכרה במערערים כהורי הקטינה באותו מעמד".</w:t>
      </w:r>
    </w:p>
    <w:p w:rsidR="007E10A6" w:rsidRPr="00703EA1" w:rsidRDefault="007E10A6" w:rsidP="00811A6F">
      <w:pPr>
        <w:spacing w:line="360" w:lineRule="auto"/>
        <w:jc w:val="both"/>
        <w:rPr>
          <w:rFonts w:ascii="Arial" w:hAnsi="Arial"/>
          <w:noProof w:val="0"/>
          <w:rtl/>
        </w:rPr>
      </w:pPr>
    </w:p>
    <w:p w:rsidR="00A008EA" w:rsidRPr="00703EA1" w:rsidRDefault="00703EA1" w:rsidP="00811A6F">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E10A6" w:rsidRPr="00703EA1">
        <w:rPr>
          <w:rFonts w:ascii="Arial" w:hAnsi="Arial" w:hint="cs"/>
          <w:noProof w:val="0"/>
          <w:rtl/>
        </w:rPr>
        <w:t>ההחלטה "גוזרת על המערערים חשיפה שלא לצורך של הפרטים האינטימיים ביותר אשר לא ידועים אף לקרובים ביותר של המערערים"</w:t>
      </w:r>
      <w:r w:rsidR="00A008EA" w:rsidRPr="00703EA1">
        <w:rPr>
          <w:rFonts w:ascii="Arial" w:hAnsi="Arial" w:hint="cs"/>
          <w:noProof w:val="0"/>
          <w:rtl/>
        </w:rPr>
        <w:t>, לרבות הוריהם</w:t>
      </w:r>
      <w:r w:rsidR="007E10A6" w:rsidRPr="00703EA1">
        <w:rPr>
          <w:rFonts w:ascii="Arial" w:hAnsi="Arial" w:hint="cs"/>
          <w:noProof w:val="0"/>
          <w:rtl/>
        </w:rPr>
        <w:t xml:space="preserve">. מדובר בפגיעה בפרטיות ובאוטונומיה ההורית והמערערים כבר נפגעו מכך שמידע חסוי </w:t>
      </w:r>
      <w:r w:rsidR="007B1468" w:rsidRPr="00703EA1">
        <w:rPr>
          <w:rFonts w:ascii="Arial" w:hAnsi="Arial" w:hint="cs"/>
          <w:noProof w:val="0"/>
          <w:rtl/>
        </w:rPr>
        <w:t xml:space="preserve">ביחס לקטין </w:t>
      </w:r>
      <w:r w:rsidR="007E10A6" w:rsidRPr="00703EA1">
        <w:rPr>
          <w:rFonts w:ascii="Arial" w:hAnsi="Arial" w:hint="cs"/>
          <w:noProof w:val="0"/>
          <w:rtl/>
        </w:rPr>
        <w:t xml:space="preserve">הגיע לידי פקיד המרשם. לא משנה מי מהמערערים </w:t>
      </w:r>
      <w:r w:rsidR="007B1468" w:rsidRPr="00703EA1">
        <w:rPr>
          <w:rFonts w:ascii="Arial" w:hAnsi="Arial" w:hint="cs"/>
          <w:noProof w:val="0"/>
          <w:rtl/>
        </w:rPr>
        <w:t xml:space="preserve">הוא </w:t>
      </w:r>
      <w:r w:rsidR="007E10A6" w:rsidRPr="00703EA1">
        <w:rPr>
          <w:rFonts w:ascii="Arial" w:hAnsi="Arial" w:hint="cs"/>
          <w:noProof w:val="0"/>
          <w:rtl/>
        </w:rPr>
        <w:t xml:space="preserve">בעל הזיקה הגנטית על מנת להקנות מעמד לקטינה והתנגדות המשיבה מקורה ב"קיבעון". יש להכיר בשני ההורים סימולטנית כמו ב"מדינות </w:t>
      </w:r>
      <w:r w:rsidR="007E10A6" w:rsidRPr="00703EA1">
        <w:rPr>
          <w:rFonts w:ascii="Arial" w:hAnsi="Arial" w:hint="cs"/>
          <w:noProof w:val="0"/>
          <w:rtl/>
        </w:rPr>
        <w:lastRenderedPageBreak/>
        <w:t>מתוקנות...והגיע</w:t>
      </w:r>
      <w:r w:rsidR="00811A6F">
        <w:rPr>
          <w:rFonts w:ascii="Arial" w:hAnsi="Arial" w:hint="cs"/>
          <w:noProof w:val="0"/>
          <w:rtl/>
        </w:rPr>
        <w:t>ה</w:t>
      </w:r>
      <w:r w:rsidR="007E10A6" w:rsidRPr="00703EA1">
        <w:rPr>
          <w:rFonts w:ascii="Arial" w:hAnsi="Arial" w:hint="cs"/>
          <w:noProof w:val="0"/>
          <w:rtl/>
        </w:rPr>
        <w:t xml:space="preserve"> השעה שג</w:t>
      </w:r>
      <w:r w:rsidR="00A008EA" w:rsidRPr="00703EA1">
        <w:rPr>
          <w:rFonts w:ascii="Arial" w:hAnsi="Arial" w:hint="cs"/>
          <w:noProof w:val="0"/>
          <w:rtl/>
        </w:rPr>
        <w:t>ם מדינת ישראל תעשה צעדיה לעבר השוויון בכל הקשור להליכי פונדקאות".</w:t>
      </w:r>
    </w:p>
    <w:p w:rsidR="00A008EA" w:rsidRPr="00A008EA" w:rsidRDefault="00A008EA" w:rsidP="00811A6F">
      <w:pPr>
        <w:pStyle w:val="ad"/>
        <w:spacing w:line="360" w:lineRule="auto"/>
        <w:rPr>
          <w:rFonts w:ascii="Arial" w:hAnsi="Arial"/>
          <w:noProof w:val="0"/>
          <w:rtl/>
        </w:rPr>
      </w:pPr>
    </w:p>
    <w:p w:rsidR="007F46EA" w:rsidRPr="00703EA1" w:rsidRDefault="00703EA1" w:rsidP="007B4598">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A008EA" w:rsidRPr="00703EA1">
        <w:rPr>
          <w:rFonts w:ascii="Arial" w:hAnsi="Arial" w:hint="cs"/>
          <w:noProof w:val="0"/>
          <w:rtl/>
        </w:rPr>
        <w:t xml:space="preserve">יש לכבד את רצון המערערים שלא לחשוף את המידע לצדדים שלישיים שלא לצורך והם עומדים על זכותם </w:t>
      </w:r>
      <w:r w:rsidR="00811A6F">
        <w:rPr>
          <w:rFonts w:ascii="Arial" w:hAnsi="Arial" w:hint="cs"/>
          <w:noProof w:val="0"/>
          <w:rtl/>
        </w:rPr>
        <w:t xml:space="preserve">לא לחלוק מידע זה עם אף </w:t>
      </w:r>
      <w:r w:rsidR="007F46EA" w:rsidRPr="00703EA1">
        <w:rPr>
          <w:rFonts w:ascii="Arial" w:hAnsi="Arial" w:hint="cs"/>
          <w:noProof w:val="0"/>
          <w:rtl/>
        </w:rPr>
        <w:t>אחד</w:t>
      </w:r>
      <w:r w:rsidR="00A008EA" w:rsidRPr="00703EA1">
        <w:rPr>
          <w:rFonts w:ascii="Arial" w:hAnsi="Arial" w:hint="cs"/>
          <w:noProof w:val="0"/>
          <w:rtl/>
        </w:rPr>
        <w:t xml:space="preserve">. יש לאפשר למערערים לגדל </w:t>
      </w:r>
      <w:r w:rsidR="007B1468" w:rsidRPr="00703EA1">
        <w:rPr>
          <w:rFonts w:ascii="Arial" w:hAnsi="Arial" w:hint="cs"/>
          <w:noProof w:val="0"/>
          <w:rtl/>
        </w:rPr>
        <w:t xml:space="preserve">את ילדיהם </w:t>
      </w:r>
      <w:r w:rsidR="00A008EA" w:rsidRPr="00703EA1">
        <w:rPr>
          <w:rFonts w:ascii="Arial" w:hAnsi="Arial" w:hint="cs"/>
          <w:noProof w:val="0"/>
          <w:rtl/>
        </w:rPr>
        <w:t>מבלי שמי מהסובבים אותם, לרבות המשיבה, יתייחסו לאבחנה בין סוגי ההורות.</w:t>
      </w:r>
      <w:r w:rsidR="007F46EA" w:rsidRPr="00703EA1">
        <w:rPr>
          <w:rFonts w:ascii="Arial" w:hAnsi="Arial" w:hint="cs"/>
          <w:noProof w:val="0"/>
          <w:rtl/>
        </w:rPr>
        <w:t xml:space="preserve"> לא ייגרם כל נזק אם זהות ההורה הגנטי לא תיחשף. למערערים כבר נגרם נזק כלכלי ועוגמת נפש רבה בעבר, מחשיפת זהות ההורה הגנטי של הקטין. הם נאלצו להגיש עתירה מנהלית ולמרות שזכו, </w:t>
      </w:r>
      <w:r w:rsidR="007B4598">
        <w:rPr>
          <w:rFonts w:ascii="Arial" w:hAnsi="Arial" w:hint="cs"/>
          <w:noProof w:val="0"/>
          <w:rtl/>
        </w:rPr>
        <w:t>בעקבות</w:t>
      </w:r>
      <w:r w:rsidR="007F46EA" w:rsidRPr="00703EA1">
        <w:rPr>
          <w:rFonts w:ascii="Arial" w:hAnsi="Arial" w:hint="cs"/>
          <w:noProof w:val="0"/>
          <w:rtl/>
        </w:rPr>
        <w:t xml:space="preserve"> התנהלות המשיבה, נחשפו אנשים רבים למידע למי מהם יש קשר גנטי לקטין.</w:t>
      </w:r>
    </w:p>
    <w:p w:rsidR="007F46EA" w:rsidRPr="007F46EA" w:rsidRDefault="007F46EA" w:rsidP="00811A6F">
      <w:pPr>
        <w:pStyle w:val="ad"/>
        <w:spacing w:line="360" w:lineRule="auto"/>
        <w:rPr>
          <w:rFonts w:ascii="Arial" w:hAnsi="Arial"/>
          <w:noProof w:val="0"/>
          <w:rtl/>
        </w:rPr>
      </w:pPr>
    </w:p>
    <w:p w:rsidR="007F46EA" w:rsidRPr="00703EA1" w:rsidRDefault="00703EA1" w:rsidP="007B4598">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7F46EA" w:rsidRPr="00703EA1">
        <w:rPr>
          <w:rFonts w:ascii="Arial" w:hAnsi="Arial" w:hint="cs"/>
          <w:noProof w:val="0"/>
          <w:rtl/>
        </w:rPr>
        <w:t>המערערים יודעים למי הזיקה הגנטית</w:t>
      </w:r>
      <w:r w:rsidR="007B1468" w:rsidRPr="00703EA1">
        <w:rPr>
          <w:rFonts w:ascii="Arial" w:hAnsi="Arial" w:hint="cs"/>
          <w:noProof w:val="0"/>
          <w:rtl/>
        </w:rPr>
        <w:t xml:space="preserve"> ביחס לקטינה</w:t>
      </w:r>
      <w:r w:rsidR="007F46EA" w:rsidRPr="00703EA1">
        <w:rPr>
          <w:rFonts w:ascii="Arial" w:hAnsi="Arial" w:hint="cs"/>
          <w:noProof w:val="0"/>
          <w:rtl/>
        </w:rPr>
        <w:t>.</w:t>
      </w:r>
      <w:r w:rsidR="00380624" w:rsidRPr="00703EA1">
        <w:rPr>
          <w:rFonts w:ascii="Arial" w:hAnsi="Arial" w:hint="cs"/>
          <w:noProof w:val="0"/>
          <w:rtl/>
        </w:rPr>
        <w:t xml:space="preserve"> </w:t>
      </w:r>
      <w:r w:rsidR="007B1468" w:rsidRPr="00703EA1">
        <w:rPr>
          <w:rFonts w:ascii="Arial" w:hAnsi="Arial" w:hint="cs"/>
          <w:noProof w:val="0"/>
          <w:rtl/>
        </w:rPr>
        <w:t xml:space="preserve">לכן, </w:t>
      </w:r>
      <w:r w:rsidR="00380624" w:rsidRPr="00703EA1">
        <w:rPr>
          <w:rFonts w:ascii="Arial" w:hAnsi="Arial" w:hint="cs"/>
          <w:noProof w:val="0"/>
          <w:rtl/>
        </w:rPr>
        <w:t xml:space="preserve">הבדיקה העיוורת לא תפגע </w:t>
      </w:r>
      <w:r w:rsidR="007B1468" w:rsidRPr="00703EA1">
        <w:rPr>
          <w:rFonts w:ascii="Arial" w:hAnsi="Arial" w:hint="cs"/>
          <w:noProof w:val="0"/>
          <w:rtl/>
        </w:rPr>
        <w:t>ב</w:t>
      </w:r>
      <w:r w:rsidR="004F499C">
        <w:rPr>
          <w:rFonts w:ascii="Arial" w:hAnsi="Arial" w:hint="cs"/>
          <w:noProof w:val="0"/>
          <w:rtl/>
        </w:rPr>
        <w:t>ק</w:t>
      </w:r>
      <w:r w:rsidR="007B1468" w:rsidRPr="00703EA1">
        <w:rPr>
          <w:rFonts w:ascii="Arial" w:hAnsi="Arial" w:hint="cs"/>
          <w:noProof w:val="0"/>
          <w:rtl/>
        </w:rPr>
        <w:t>טינה מאחר שככל ש</w:t>
      </w:r>
      <w:r w:rsidR="00380624" w:rsidRPr="00703EA1">
        <w:rPr>
          <w:rFonts w:ascii="Arial" w:hAnsi="Arial" w:hint="cs"/>
          <w:noProof w:val="0"/>
          <w:rtl/>
        </w:rPr>
        <w:t>המידע בדבר זהות ההורה הגנטי י</w:t>
      </w:r>
      <w:r w:rsidR="007B4598">
        <w:rPr>
          <w:rFonts w:ascii="Arial" w:hAnsi="Arial" w:hint="cs"/>
          <w:noProof w:val="0"/>
          <w:rtl/>
        </w:rPr>
        <w:t>י</w:t>
      </w:r>
      <w:r w:rsidR="00380624" w:rsidRPr="00703EA1">
        <w:rPr>
          <w:rFonts w:ascii="Arial" w:hAnsi="Arial" w:hint="cs"/>
          <w:noProof w:val="0"/>
          <w:rtl/>
        </w:rPr>
        <w:t>דרש לצורך עניינים רפואיים</w:t>
      </w:r>
      <w:r w:rsidR="007B1468" w:rsidRPr="00703EA1">
        <w:rPr>
          <w:rFonts w:ascii="Arial" w:hAnsi="Arial" w:hint="cs"/>
          <w:noProof w:val="0"/>
          <w:rtl/>
        </w:rPr>
        <w:t>, ייעשה בו שימוש</w:t>
      </w:r>
      <w:r w:rsidR="00380624" w:rsidRPr="00703EA1">
        <w:rPr>
          <w:rFonts w:ascii="Arial" w:hAnsi="Arial" w:hint="cs"/>
          <w:noProof w:val="0"/>
          <w:rtl/>
        </w:rPr>
        <w:t>. המערערים לא מתכוונים להסתיר מידע זה מהקטינה ואולם המועד שבו הדבר יתבצע יהיה נתון לשיקול דעתם בלבד.</w:t>
      </w:r>
      <w:r w:rsidR="007F46EA" w:rsidRPr="00703EA1">
        <w:rPr>
          <w:rFonts w:ascii="Arial" w:hAnsi="Arial" w:hint="cs"/>
          <w:noProof w:val="0"/>
          <w:rtl/>
        </w:rPr>
        <w:t xml:space="preserve"> </w:t>
      </w:r>
    </w:p>
    <w:p w:rsidR="007F46EA" w:rsidRPr="007F46EA" w:rsidRDefault="007F46EA" w:rsidP="00811A6F">
      <w:pPr>
        <w:pStyle w:val="ad"/>
        <w:spacing w:line="360" w:lineRule="auto"/>
        <w:rPr>
          <w:rFonts w:ascii="Arial" w:hAnsi="Arial"/>
          <w:noProof w:val="0"/>
          <w:rtl/>
        </w:rPr>
      </w:pPr>
    </w:p>
    <w:p w:rsidR="00A0408B" w:rsidRPr="00703EA1" w:rsidRDefault="00703EA1" w:rsidP="00811A6F">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80624" w:rsidRPr="00703EA1">
        <w:rPr>
          <w:rFonts w:ascii="Arial" w:hAnsi="Arial" w:hint="cs"/>
          <w:noProof w:val="0"/>
          <w:rtl/>
        </w:rPr>
        <w:t xml:space="preserve">אין בסיס משפטי לדרישת המשיבה לפיה יימסר לה המידע בדבר זהות ההורה הגנטי. </w:t>
      </w:r>
      <w:r w:rsidR="00A0408B" w:rsidRPr="00703EA1">
        <w:rPr>
          <w:rFonts w:ascii="Arial" w:hAnsi="Arial" w:hint="cs"/>
          <w:noProof w:val="0"/>
          <w:rtl/>
        </w:rPr>
        <w:t>המערערים יעמדו בתנאים הנדרשים למתן צו הורות פסיקתי, גם ללא המידע מי מהם הוא ההורה הגנטי.</w:t>
      </w:r>
    </w:p>
    <w:p w:rsidR="00A0408B" w:rsidRPr="00A0408B" w:rsidRDefault="00A0408B" w:rsidP="00811A6F">
      <w:pPr>
        <w:pStyle w:val="ad"/>
        <w:spacing w:line="360" w:lineRule="auto"/>
        <w:rPr>
          <w:rFonts w:ascii="Arial" w:hAnsi="Arial"/>
          <w:noProof w:val="0"/>
          <w:rtl/>
        </w:rPr>
      </w:pPr>
    </w:p>
    <w:p w:rsidR="00D915A0" w:rsidRPr="00703EA1" w:rsidRDefault="00703EA1" w:rsidP="00811A6F">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A0408B" w:rsidRPr="00703EA1">
        <w:rPr>
          <w:rFonts w:ascii="Arial" w:hAnsi="Arial" w:hint="cs"/>
          <w:noProof w:val="0"/>
          <w:rtl/>
        </w:rPr>
        <w:t>קבלת תוצאות בדיקת הרקמות ללא זיהוי ספציפי של האב, יאפשר מצב בו פסק הדין ההצהרתי על אבהות וצו ההורות הפסיקתי יינתנו במקביל. הכרה בו זמנית בשני הוריה של הקטינה תואם את טובתה. מבחינת הקטינה אין הבדל בין שני הוריה ויש ליצור מצב שוויוני בין ההורים</w:t>
      </w:r>
      <w:r w:rsidR="007B1468" w:rsidRPr="00703EA1">
        <w:rPr>
          <w:rFonts w:ascii="Arial" w:hAnsi="Arial" w:hint="cs"/>
          <w:noProof w:val="0"/>
          <w:rtl/>
        </w:rPr>
        <w:t>,</w:t>
      </w:r>
      <w:r w:rsidR="00A0408B" w:rsidRPr="00703EA1">
        <w:rPr>
          <w:rFonts w:ascii="Arial" w:hAnsi="Arial" w:hint="cs"/>
          <w:noProof w:val="0"/>
          <w:rtl/>
        </w:rPr>
        <w:t xml:space="preserve"> כולל בנוגע לבחירת השם ומועד כינון ההורות.</w:t>
      </w:r>
      <w:r w:rsidR="00D915A0" w:rsidRPr="00703EA1">
        <w:rPr>
          <w:rFonts w:ascii="Arial" w:hAnsi="Arial" w:hint="cs"/>
          <w:noProof w:val="0"/>
          <w:rtl/>
        </w:rPr>
        <w:t xml:space="preserve"> רישום בו זמני של הורי הקטינה בלי לת</w:t>
      </w:r>
      <w:r w:rsidR="007B1468" w:rsidRPr="00703EA1">
        <w:rPr>
          <w:rFonts w:ascii="Arial" w:hAnsi="Arial" w:hint="cs"/>
          <w:noProof w:val="0"/>
          <w:rtl/>
        </w:rPr>
        <w:t>ת</w:t>
      </w:r>
      <w:r w:rsidR="00D915A0" w:rsidRPr="00703EA1">
        <w:rPr>
          <w:rFonts w:ascii="Arial" w:hAnsi="Arial" w:hint="cs"/>
          <w:noProof w:val="0"/>
          <w:rtl/>
        </w:rPr>
        <w:t xml:space="preserve"> משמעות לאבחנה בזיקה הגנטית "תבטיח שוויון מוחלט בין סוגי ההורות" ותביא לכך שיובטח </w:t>
      </w:r>
      <w:r w:rsidR="007B1468" w:rsidRPr="00703EA1">
        <w:rPr>
          <w:rFonts w:ascii="Arial" w:hAnsi="Arial" w:hint="cs"/>
          <w:noProof w:val="0"/>
          <w:rtl/>
        </w:rPr>
        <w:t xml:space="preserve">כי </w:t>
      </w:r>
      <w:r w:rsidR="00D915A0" w:rsidRPr="00703EA1">
        <w:rPr>
          <w:rFonts w:ascii="Arial" w:hAnsi="Arial" w:hint="cs"/>
          <w:noProof w:val="0"/>
          <w:rtl/>
        </w:rPr>
        <w:t>בעתיד לא תבוצע כל אבחנה בין ההורות הגנטית להורות על בסיס צו ההורות הפסיקתי.</w:t>
      </w:r>
    </w:p>
    <w:p w:rsidR="00D915A0" w:rsidRPr="007B1468" w:rsidRDefault="00D915A0" w:rsidP="00811A6F">
      <w:pPr>
        <w:pStyle w:val="ad"/>
        <w:spacing w:line="360" w:lineRule="auto"/>
        <w:rPr>
          <w:rFonts w:ascii="Arial" w:hAnsi="Arial"/>
          <w:noProof w:val="0"/>
          <w:rtl/>
        </w:rPr>
      </w:pPr>
    </w:p>
    <w:p w:rsidR="00D915A0" w:rsidRPr="00703EA1" w:rsidRDefault="00703EA1" w:rsidP="00811A6F">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915A0" w:rsidRPr="00703EA1">
        <w:rPr>
          <w:rFonts w:ascii="Arial" w:hAnsi="Arial" w:hint="cs"/>
          <w:noProof w:val="0"/>
          <w:rtl/>
        </w:rPr>
        <w:t>טעה ביהמ"ש קמא שעה שמחק את התביעה מחוסר מעש, בעוד שהמערערים הגישו בקשת רשות ערעור על ההחלטה שה</w:t>
      </w:r>
      <w:r w:rsidR="007B1468" w:rsidRPr="00703EA1">
        <w:rPr>
          <w:rFonts w:ascii="Arial" w:hAnsi="Arial" w:hint="cs"/>
          <w:noProof w:val="0"/>
          <w:rtl/>
        </w:rPr>
        <w:t>י</w:t>
      </w:r>
      <w:r w:rsidR="00D915A0" w:rsidRPr="00703EA1">
        <w:rPr>
          <w:rFonts w:ascii="Arial" w:hAnsi="Arial" w:hint="cs"/>
          <w:noProof w:val="0"/>
          <w:rtl/>
        </w:rPr>
        <w:t>יתה תלויה ועומדת.</w:t>
      </w:r>
    </w:p>
    <w:p w:rsidR="00D915A0" w:rsidRPr="00703EA1" w:rsidRDefault="00D915A0" w:rsidP="00811A6F">
      <w:pPr>
        <w:pStyle w:val="ad"/>
        <w:spacing w:line="360" w:lineRule="auto"/>
        <w:rPr>
          <w:rFonts w:ascii="Arial" w:hAnsi="Arial"/>
          <w:noProof w:val="0"/>
          <w:rtl/>
        </w:rPr>
      </w:pPr>
    </w:p>
    <w:p w:rsidR="00D915A0" w:rsidRPr="00703EA1" w:rsidRDefault="00703EA1" w:rsidP="00811A6F">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D915A0" w:rsidRPr="00703EA1">
        <w:rPr>
          <w:rFonts w:ascii="Arial" w:hAnsi="Arial" w:hint="cs"/>
          <w:noProof w:val="0"/>
          <w:rtl/>
        </w:rPr>
        <w:t xml:space="preserve">יש לקבל את הערעור ולהורות </w:t>
      </w:r>
      <w:r w:rsidR="007B1468" w:rsidRPr="00703EA1">
        <w:rPr>
          <w:rFonts w:ascii="Arial" w:hAnsi="Arial" w:hint="cs"/>
          <w:noProof w:val="0"/>
          <w:rtl/>
        </w:rPr>
        <w:t>ש</w:t>
      </w:r>
      <w:r w:rsidR="00D915A0" w:rsidRPr="00703EA1">
        <w:rPr>
          <w:rFonts w:ascii="Arial" w:hAnsi="Arial" w:hint="cs"/>
          <w:noProof w:val="0"/>
          <w:rtl/>
        </w:rPr>
        <w:t xml:space="preserve">בחוות הדעת </w:t>
      </w:r>
      <w:r w:rsidR="007B1468" w:rsidRPr="00703EA1">
        <w:rPr>
          <w:rFonts w:ascii="Arial" w:hAnsi="Arial" w:hint="cs"/>
          <w:noProof w:val="0"/>
          <w:rtl/>
        </w:rPr>
        <w:t>שתוגש בעקבות ה</w:t>
      </w:r>
      <w:r w:rsidR="00D915A0" w:rsidRPr="00703EA1">
        <w:rPr>
          <w:rFonts w:ascii="Arial" w:hAnsi="Arial" w:hint="cs"/>
          <w:noProof w:val="0"/>
          <w:rtl/>
        </w:rPr>
        <w:t>בדיקה לסיווג רקמות</w:t>
      </w:r>
      <w:r w:rsidR="007B1468" w:rsidRPr="00703EA1">
        <w:rPr>
          <w:rFonts w:ascii="Arial" w:hAnsi="Arial" w:hint="cs"/>
          <w:noProof w:val="0"/>
          <w:rtl/>
        </w:rPr>
        <w:t>,</w:t>
      </w:r>
      <w:r w:rsidR="00D915A0" w:rsidRPr="00703EA1">
        <w:rPr>
          <w:rFonts w:ascii="Arial" w:hAnsi="Arial" w:hint="cs"/>
          <w:noProof w:val="0"/>
          <w:rtl/>
        </w:rPr>
        <w:t xml:space="preserve"> לא תיחשף הזהות הגנטית של מי מהמערערים לקטינה ושני הצווים יינתנו יחדיו.</w:t>
      </w:r>
    </w:p>
    <w:p w:rsidR="00D915A0" w:rsidRDefault="00D915A0" w:rsidP="00811A6F">
      <w:pPr>
        <w:pStyle w:val="ad"/>
        <w:spacing w:line="360" w:lineRule="auto"/>
        <w:rPr>
          <w:rFonts w:ascii="Arial" w:hAnsi="Arial"/>
          <w:noProof w:val="0"/>
          <w:rtl/>
        </w:rPr>
      </w:pPr>
    </w:p>
    <w:p w:rsidR="001F2B11" w:rsidRPr="00D915A0" w:rsidRDefault="001F2B11" w:rsidP="00811A6F">
      <w:pPr>
        <w:pStyle w:val="ad"/>
        <w:spacing w:line="360" w:lineRule="auto"/>
        <w:rPr>
          <w:rFonts w:ascii="Arial" w:hAnsi="Arial"/>
          <w:noProof w:val="0"/>
          <w:rtl/>
        </w:rPr>
      </w:pPr>
    </w:p>
    <w:p w:rsidR="00D915A0" w:rsidRPr="00703EA1" w:rsidRDefault="00703EA1" w:rsidP="00811A6F">
      <w:pPr>
        <w:spacing w:line="360" w:lineRule="auto"/>
        <w:jc w:val="both"/>
        <w:rPr>
          <w:rFonts w:ascii="Arial" w:hAnsi="Arial"/>
          <w:b/>
          <w:bCs/>
          <w:noProof w:val="0"/>
        </w:rPr>
      </w:pPr>
      <w:r>
        <w:rPr>
          <w:rFonts w:ascii="Arial" w:hAnsi="Arial" w:hint="cs"/>
          <w:b/>
          <w:bCs/>
          <w:noProof w:val="0"/>
          <w:rtl/>
        </w:rPr>
        <w:lastRenderedPageBreak/>
        <w:t>ג.</w:t>
      </w:r>
      <w:r>
        <w:rPr>
          <w:rFonts w:ascii="Arial" w:hAnsi="Arial" w:hint="cs"/>
          <w:b/>
          <w:bCs/>
          <w:noProof w:val="0"/>
          <w:rtl/>
        </w:rPr>
        <w:tab/>
      </w:r>
      <w:r w:rsidR="00D915A0" w:rsidRPr="00703EA1">
        <w:rPr>
          <w:rFonts w:ascii="Arial" w:hAnsi="Arial" w:hint="cs"/>
          <w:b/>
          <w:bCs/>
          <w:noProof w:val="0"/>
          <w:rtl/>
        </w:rPr>
        <w:t>תמצית טענות המשיבה</w:t>
      </w:r>
    </w:p>
    <w:p w:rsidR="00D915A0" w:rsidRDefault="00D915A0" w:rsidP="00811A6F">
      <w:pPr>
        <w:spacing w:line="360" w:lineRule="auto"/>
        <w:jc w:val="both"/>
        <w:rPr>
          <w:rFonts w:ascii="Arial" w:hAnsi="Arial"/>
          <w:noProof w:val="0"/>
          <w:rtl/>
        </w:rPr>
      </w:pPr>
    </w:p>
    <w:p w:rsidR="001628F2" w:rsidRPr="00703EA1" w:rsidRDefault="00703EA1" w:rsidP="00703EA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1628F2" w:rsidRPr="00703EA1">
        <w:rPr>
          <w:rFonts w:ascii="Arial" w:hAnsi="Arial" w:hint="cs"/>
          <w:noProof w:val="0"/>
          <w:rtl/>
        </w:rPr>
        <w:t>יש לדחות את הערעור. בדיקה עיוורת תפגע בטובת הקטינה שזכותה להתוודע לשורשיה ולדעת מי ההורה הגנטי שלה</w:t>
      </w:r>
      <w:r w:rsidR="007B1468" w:rsidRPr="00703EA1">
        <w:rPr>
          <w:rFonts w:ascii="Arial" w:hAnsi="Arial" w:hint="cs"/>
          <w:noProof w:val="0"/>
          <w:rtl/>
        </w:rPr>
        <w:t>.</w:t>
      </w:r>
      <w:r w:rsidR="001628F2" w:rsidRPr="00703EA1">
        <w:rPr>
          <w:rFonts w:ascii="Arial" w:hAnsi="Arial" w:hint="cs"/>
          <w:noProof w:val="0"/>
          <w:rtl/>
        </w:rPr>
        <w:t xml:space="preserve"> </w:t>
      </w:r>
      <w:r w:rsidR="007B1468" w:rsidRPr="00703EA1">
        <w:rPr>
          <w:rFonts w:ascii="Arial" w:hAnsi="Arial" w:hint="cs"/>
          <w:noProof w:val="0"/>
          <w:rtl/>
        </w:rPr>
        <w:t xml:space="preserve">זאת, </w:t>
      </w:r>
      <w:r w:rsidR="001628F2" w:rsidRPr="00703EA1">
        <w:rPr>
          <w:rFonts w:ascii="Arial" w:hAnsi="Arial" w:hint="cs"/>
          <w:noProof w:val="0"/>
          <w:rtl/>
        </w:rPr>
        <w:t>בשים לב לגישה הטיפולית הנוהגת לפיה לסודות ולהסתרה במשפחה "יש מחיר נפשי כבד והם אינם משרתים את טובת הקטינה". גם בהקשר של צרכים רפואיים בעתיד שאולי יתעוררו, טובתה לדעת מי הוא אביה הגנטי.</w:t>
      </w:r>
    </w:p>
    <w:p w:rsidR="001628F2" w:rsidRDefault="001628F2" w:rsidP="001628F2">
      <w:pPr>
        <w:spacing w:line="360" w:lineRule="auto"/>
        <w:jc w:val="both"/>
        <w:rPr>
          <w:rFonts w:ascii="Arial" w:hAnsi="Arial"/>
          <w:noProof w:val="0"/>
          <w:rtl/>
        </w:rPr>
      </w:pPr>
    </w:p>
    <w:p w:rsidR="00886BF1" w:rsidRPr="00703EA1" w:rsidRDefault="00703EA1" w:rsidP="004F499C">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1628F2" w:rsidRPr="00703EA1">
        <w:rPr>
          <w:rFonts w:ascii="Arial" w:hAnsi="Arial" w:hint="cs"/>
          <w:noProof w:val="0"/>
          <w:rtl/>
        </w:rPr>
        <w:t>לא ניתן לקבוע "הורות גנטית ערטילאית".</w:t>
      </w:r>
      <w:r w:rsidR="00D915A0" w:rsidRPr="00703EA1">
        <w:rPr>
          <w:rFonts w:ascii="Arial" w:hAnsi="Arial" w:hint="cs"/>
          <w:noProof w:val="0"/>
          <w:rtl/>
        </w:rPr>
        <w:t xml:space="preserve"> </w:t>
      </w:r>
      <w:r w:rsidR="001628F2" w:rsidRPr="00703EA1">
        <w:rPr>
          <w:rFonts w:ascii="Arial" w:hAnsi="Arial" w:hint="cs"/>
          <w:noProof w:val="0"/>
          <w:rtl/>
        </w:rPr>
        <w:t>כינון הורות משפטית חייב להיות כלפי אדם מסוים.</w:t>
      </w:r>
      <w:r w:rsidR="00886BF1" w:rsidRPr="00703EA1">
        <w:rPr>
          <w:rFonts w:ascii="Arial" w:hAnsi="Arial" w:hint="cs"/>
          <w:noProof w:val="0"/>
          <w:rtl/>
        </w:rPr>
        <w:t xml:space="preserve"> הידיעה מי ההורה הגנטי לא תפגע כלל במערכת היחסים של הקטינה עם הוריה.</w:t>
      </w:r>
    </w:p>
    <w:p w:rsidR="00886BF1" w:rsidRPr="007B1468" w:rsidRDefault="00886BF1" w:rsidP="004F499C">
      <w:pPr>
        <w:pStyle w:val="ad"/>
        <w:spacing w:line="360" w:lineRule="auto"/>
        <w:rPr>
          <w:rFonts w:ascii="Arial" w:hAnsi="Arial"/>
          <w:noProof w:val="0"/>
          <w:rtl/>
        </w:rPr>
      </w:pPr>
    </w:p>
    <w:p w:rsidR="009D5182" w:rsidRPr="00703EA1" w:rsidRDefault="00703EA1" w:rsidP="007B4598">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886BF1" w:rsidRPr="00703EA1">
        <w:rPr>
          <w:rFonts w:ascii="Arial" w:hAnsi="Arial" w:hint="cs"/>
          <w:noProof w:val="0"/>
          <w:rtl/>
        </w:rPr>
        <w:t xml:space="preserve">על פי סעיף 28ט </w:t>
      </w:r>
      <w:r w:rsidR="00886BF1" w:rsidRPr="00703EA1">
        <w:rPr>
          <w:rFonts w:ascii="Arial" w:hAnsi="Arial" w:hint="cs"/>
          <w:b/>
          <w:bCs/>
          <w:noProof w:val="0"/>
          <w:rtl/>
        </w:rPr>
        <w:t xml:space="preserve">לחוק מידע גנטי </w:t>
      </w:r>
      <w:r w:rsidR="00886BF1" w:rsidRPr="00703EA1">
        <w:rPr>
          <w:rFonts w:ascii="Arial" w:hAnsi="Arial" w:hint="cs"/>
          <w:noProof w:val="0"/>
          <w:rtl/>
        </w:rPr>
        <w:t xml:space="preserve">התשס"א </w:t>
      </w:r>
      <w:r w:rsidR="00886BF1" w:rsidRPr="00703EA1">
        <w:rPr>
          <w:rFonts w:ascii="Arial" w:hAnsi="Arial"/>
          <w:noProof w:val="0"/>
          <w:rtl/>
        </w:rPr>
        <w:t>–</w:t>
      </w:r>
      <w:r w:rsidR="00886BF1" w:rsidRPr="00703EA1">
        <w:rPr>
          <w:rFonts w:ascii="Arial" w:hAnsi="Arial" w:hint="cs"/>
          <w:noProof w:val="0"/>
          <w:rtl/>
        </w:rPr>
        <w:t xml:space="preserve"> 2000</w:t>
      </w:r>
      <w:r w:rsidR="001F2B11">
        <w:rPr>
          <w:rFonts w:ascii="Arial" w:hAnsi="Arial" w:hint="cs"/>
          <w:noProof w:val="0"/>
          <w:rtl/>
        </w:rPr>
        <w:t>,</w:t>
      </w:r>
      <w:r w:rsidR="00886BF1" w:rsidRPr="00703EA1">
        <w:rPr>
          <w:rFonts w:ascii="Arial" w:hAnsi="Arial" w:hint="cs"/>
          <w:noProof w:val="0"/>
          <w:rtl/>
        </w:rPr>
        <w:t xml:space="preserve"> מועברות תוצאות הבדיקה הגנטית לעיונו של בית המשפט בלבד. ההליך מתקיים בדלתיים סגורות ופרטי המערערים והקטין לא גלויים לציבור אלא רק לגורמי המדינה האמונים על המרשם. לכן, הפגיעה בפרטיות היא מידתית ונדרשת לצורך רישום הקטינה.</w:t>
      </w:r>
    </w:p>
    <w:p w:rsidR="009D5182" w:rsidRPr="009D5182" w:rsidRDefault="009D5182" w:rsidP="004F499C">
      <w:pPr>
        <w:pStyle w:val="ad"/>
        <w:spacing w:line="360" w:lineRule="auto"/>
        <w:rPr>
          <w:rFonts w:ascii="Arial" w:hAnsi="Arial"/>
          <w:noProof w:val="0"/>
          <w:rtl/>
        </w:rPr>
      </w:pPr>
    </w:p>
    <w:p w:rsidR="009D5182" w:rsidRPr="00703EA1" w:rsidRDefault="005D33CF" w:rsidP="004F499C">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9D5182" w:rsidRPr="00703EA1">
        <w:rPr>
          <w:rFonts w:ascii="Arial" w:hAnsi="Arial" w:hint="cs"/>
          <w:noProof w:val="0"/>
          <w:rtl/>
        </w:rPr>
        <w:t>יש למערערים זכות לאוטונומיה הורית ואולם לא מדובר בזכות מוחלטת. לכן, אין מקום לעריכת בדיקה עיוורת ואם המערערים אינם מעוניינים לחלוק את המידע בדבר זהות ההורה הביולוגי של הקטינה, הם יכולים לפעול בנושא זה כראות עיניהם.</w:t>
      </w:r>
    </w:p>
    <w:p w:rsidR="009D5182" w:rsidRPr="009D5182" w:rsidRDefault="009D5182" w:rsidP="004F499C">
      <w:pPr>
        <w:pStyle w:val="ad"/>
        <w:spacing w:line="360" w:lineRule="auto"/>
        <w:rPr>
          <w:rFonts w:ascii="Arial" w:hAnsi="Arial"/>
          <w:noProof w:val="0"/>
          <w:rtl/>
        </w:rPr>
      </w:pPr>
    </w:p>
    <w:p w:rsidR="00536A68" w:rsidRPr="005D33CF" w:rsidRDefault="005D33CF" w:rsidP="007B4598">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32F7E">
        <w:rPr>
          <w:rFonts w:ascii="Arial" w:hAnsi="Arial" w:hint="cs"/>
          <w:noProof w:val="0"/>
          <w:rtl/>
        </w:rPr>
        <w:t xml:space="preserve">כיום, משטרם הוכח </w:t>
      </w:r>
      <w:r w:rsidR="009D5182" w:rsidRPr="005D33CF">
        <w:rPr>
          <w:rFonts w:ascii="Arial" w:hAnsi="Arial" w:hint="cs"/>
          <w:noProof w:val="0"/>
          <w:rtl/>
        </w:rPr>
        <w:t xml:space="preserve">קשר </w:t>
      </w:r>
      <w:r w:rsidR="00340B44" w:rsidRPr="005D33CF">
        <w:rPr>
          <w:rFonts w:ascii="Arial" w:hAnsi="Arial" w:hint="cs"/>
          <w:noProof w:val="0"/>
          <w:rtl/>
        </w:rPr>
        <w:t>ג</w:t>
      </w:r>
      <w:r w:rsidR="009D5182" w:rsidRPr="005D33CF">
        <w:rPr>
          <w:rFonts w:ascii="Arial" w:hAnsi="Arial" w:hint="cs"/>
          <w:noProof w:val="0"/>
          <w:rtl/>
        </w:rPr>
        <w:t xml:space="preserve">נטי </w:t>
      </w:r>
      <w:r w:rsidR="007B1468" w:rsidRPr="005D33CF">
        <w:rPr>
          <w:rFonts w:ascii="Arial" w:hAnsi="Arial" w:hint="cs"/>
          <w:noProof w:val="0"/>
          <w:rtl/>
        </w:rPr>
        <w:t xml:space="preserve">בין </w:t>
      </w:r>
      <w:r w:rsidR="009D5182" w:rsidRPr="005D33CF">
        <w:rPr>
          <w:rFonts w:ascii="Arial" w:hAnsi="Arial" w:hint="cs"/>
          <w:noProof w:val="0"/>
          <w:rtl/>
        </w:rPr>
        <w:t>הקטינה למי מהמערערים, אין לקטינה מעמד בישראל</w:t>
      </w:r>
      <w:r w:rsidR="00340B44" w:rsidRPr="005D33CF">
        <w:rPr>
          <w:rFonts w:ascii="Arial" w:hAnsi="Arial" w:hint="cs"/>
          <w:noProof w:val="0"/>
          <w:rtl/>
        </w:rPr>
        <w:t xml:space="preserve"> והיא נחשבת לשו</w:t>
      </w:r>
      <w:r w:rsidR="007B1468" w:rsidRPr="005D33CF">
        <w:rPr>
          <w:rFonts w:ascii="Arial" w:hAnsi="Arial" w:hint="cs"/>
          <w:noProof w:val="0"/>
          <w:rtl/>
        </w:rPr>
        <w:t>ה</w:t>
      </w:r>
      <w:r w:rsidR="00340B44" w:rsidRPr="005D33CF">
        <w:rPr>
          <w:rFonts w:ascii="Arial" w:hAnsi="Arial" w:hint="cs"/>
          <w:noProof w:val="0"/>
          <w:rtl/>
        </w:rPr>
        <w:t>ה בלתי חוקית בישראל</w:t>
      </w:r>
      <w:r w:rsidR="009D5182" w:rsidRPr="005D33CF">
        <w:rPr>
          <w:rFonts w:ascii="Arial" w:hAnsi="Arial" w:hint="cs"/>
          <w:noProof w:val="0"/>
          <w:rtl/>
        </w:rPr>
        <w:t xml:space="preserve">. </w:t>
      </w:r>
      <w:r w:rsidR="00340B44" w:rsidRPr="005D33CF">
        <w:rPr>
          <w:rFonts w:ascii="Arial" w:hAnsi="Arial" w:hint="cs"/>
          <w:noProof w:val="0"/>
          <w:rtl/>
        </w:rPr>
        <w:t>ה</w:t>
      </w:r>
      <w:r w:rsidR="007B1468" w:rsidRPr="005D33CF">
        <w:rPr>
          <w:rFonts w:ascii="Arial" w:hAnsi="Arial" w:hint="cs"/>
          <w:noProof w:val="0"/>
          <w:rtl/>
        </w:rPr>
        <w:t>י</w:t>
      </w:r>
      <w:r w:rsidR="00340B44" w:rsidRPr="005D33CF">
        <w:rPr>
          <w:rFonts w:ascii="Arial" w:hAnsi="Arial" w:hint="cs"/>
          <w:noProof w:val="0"/>
          <w:rtl/>
        </w:rPr>
        <w:t>משכות ההליכים הנובעת מהתנהלות המערערים</w:t>
      </w:r>
      <w:r w:rsidR="007B1468" w:rsidRPr="005D33CF">
        <w:rPr>
          <w:rFonts w:ascii="Arial" w:hAnsi="Arial" w:hint="cs"/>
          <w:noProof w:val="0"/>
          <w:rtl/>
        </w:rPr>
        <w:t>,</w:t>
      </w:r>
      <w:r w:rsidR="00340B44" w:rsidRPr="005D33CF">
        <w:rPr>
          <w:rFonts w:ascii="Arial" w:hAnsi="Arial" w:hint="cs"/>
          <w:noProof w:val="0"/>
          <w:rtl/>
        </w:rPr>
        <w:t xml:space="preserve"> אינה עולה בקנה אחד עם טובת הקטינה. </w:t>
      </w:r>
      <w:r w:rsidR="009D5182" w:rsidRPr="005D33CF">
        <w:rPr>
          <w:rFonts w:ascii="Arial" w:hAnsi="Arial" w:hint="cs"/>
          <w:noProof w:val="0"/>
          <w:rtl/>
        </w:rPr>
        <w:t>יש צורך בהוכחת קשר גנטי להורה מסוים ולא להורה "כלשהו".</w:t>
      </w:r>
      <w:r w:rsidR="00340B44" w:rsidRPr="005D33CF">
        <w:rPr>
          <w:rFonts w:ascii="Arial" w:hAnsi="Arial" w:hint="cs"/>
          <w:noProof w:val="0"/>
          <w:rtl/>
        </w:rPr>
        <w:t xml:space="preserve"> יש צורך בקביעה עובדתית מבוססת אודות זהות אבי הקטינה </w:t>
      </w:r>
      <w:r w:rsidR="00340B44" w:rsidRPr="005D33CF">
        <w:rPr>
          <w:rFonts w:ascii="Arial" w:hAnsi="Arial"/>
          <w:noProof w:val="0"/>
          <w:rtl/>
        </w:rPr>
        <w:t>–</w:t>
      </w:r>
      <w:r w:rsidR="00340B44" w:rsidRPr="005D33CF">
        <w:rPr>
          <w:rFonts w:ascii="Arial" w:hAnsi="Arial" w:hint="cs"/>
          <w:noProof w:val="0"/>
          <w:rtl/>
        </w:rPr>
        <w:t xml:space="preserve"> זהות קונקרטית ולא ערטילאית. הנזק </w:t>
      </w:r>
      <w:r w:rsidR="007B4598">
        <w:rPr>
          <w:rFonts w:ascii="Arial" w:hAnsi="Arial" w:hint="cs"/>
          <w:noProof w:val="0"/>
          <w:rtl/>
        </w:rPr>
        <w:t>ה</w:t>
      </w:r>
      <w:r w:rsidR="00340B44" w:rsidRPr="005D33CF">
        <w:rPr>
          <w:rFonts w:ascii="Arial" w:hAnsi="Arial" w:hint="cs"/>
          <w:noProof w:val="0"/>
          <w:rtl/>
        </w:rPr>
        <w:t xml:space="preserve">נטען </w:t>
      </w:r>
      <w:r w:rsidR="007B1468" w:rsidRPr="005D33CF">
        <w:rPr>
          <w:rFonts w:ascii="Arial" w:hAnsi="Arial" w:hint="cs"/>
          <w:noProof w:val="0"/>
          <w:rtl/>
        </w:rPr>
        <w:t>ש</w:t>
      </w:r>
      <w:r w:rsidR="00340B44" w:rsidRPr="005D33CF">
        <w:rPr>
          <w:rFonts w:ascii="Arial" w:hAnsi="Arial" w:hint="cs"/>
          <w:noProof w:val="0"/>
          <w:rtl/>
        </w:rPr>
        <w:t>נגרם למערערים בכל הנוגע לרישום שם המשפחה של הקטינה הוא "נזק" קצר טווח</w:t>
      </w:r>
      <w:r w:rsidR="007B1468" w:rsidRPr="005D33CF">
        <w:rPr>
          <w:rFonts w:ascii="Arial" w:hAnsi="Arial" w:hint="cs"/>
          <w:noProof w:val="0"/>
          <w:rtl/>
        </w:rPr>
        <w:t>,</w:t>
      </w:r>
      <w:r w:rsidR="00340B44" w:rsidRPr="005D33CF">
        <w:rPr>
          <w:rFonts w:ascii="Arial" w:hAnsi="Arial" w:hint="cs"/>
          <w:noProof w:val="0"/>
          <w:rtl/>
        </w:rPr>
        <w:t xml:space="preserve"> שכן עם רישום בן ה</w:t>
      </w:r>
      <w:r w:rsidR="00536A68" w:rsidRPr="005D33CF">
        <w:rPr>
          <w:rFonts w:ascii="Arial" w:hAnsi="Arial" w:hint="cs"/>
          <w:noProof w:val="0"/>
          <w:rtl/>
        </w:rPr>
        <w:t>ז</w:t>
      </w:r>
      <w:r w:rsidR="00340B44" w:rsidRPr="005D33CF">
        <w:rPr>
          <w:rFonts w:ascii="Arial" w:hAnsi="Arial" w:hint="cs"/>
          <w:noProof w:val="0"/>
          <w:rtl/>
        </w:rPr>
        <w:t>וג של ההורה הביולוגי כהורה נוסף, תהיה למערערים האפשרות לתת לקטינה שם משפ</w:t>
      </w:r>
      <w:r w:rsidR="007B1468" w:rsidRPr="005D33CF">
        <w:rPr>
          <w:rFonts w:ascii="Arial" w:hAnsi="Arial" w:hint="cs"/>
          <w:noProof w:val="0"/>
          <w:rtl/>
        </w:rPr>
        <w:t>ח</w:t>
      </w:r>
      <w:r w:rsidR="00340B44" w:rsidRPr="005D33CF">
        <w:rPr>
          <w:rFonts w:ascii="Arial" w:hAnsi="Arial" w:hint="cs"/>
          <w:noProof w:val="0"/>
          <w:rtl/>
        </w:rPr>
        <w:t>ה כפול.</w:t>
      </w:r>
    </w:p>
    <w:p w:rsidR="00536A68" w:rsidRPr="007B1468" w:rsidRDefault="00536A68" w:rsidP="004F499C">
      <w:pPr>
        <w:pStyle w:val="ad"/>
        <w:spacing w:line="360" w:lineRule="auto"/>
        <w:rPr>
          <w:rFonts w:ascii="Arial" w:hAnsi="Arial"/>
          <w:noProof w:val="0"/>
          <w:rtl/>
        </w:rPr>
      </w:pPr>
    </w:p>
    <w:p w:rsidR="00536A68" w:rsidRPr="005D33CF" w:rsidRDefault="005D33CF" w:rsidP="004F499C">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536A68" w:rsidRPr="005D33CF">
        <w:rPr>
          <w:rFonts w:ascii="Arial" w:hAnsi="Arial" w:hint="cs"/>
          <w:noProof w:val="0"/>
          <w:rtl/>
        </w:rPr>
        <w:t>הפסיקה עמדה על חשיבות ידיעת זהות ההורים וזכות זו נגזרת מזכות האדם לכבוד. זכותה של הקטינה להכיר את שורשיה ואת נסיבות הבאתה לעולם. בנוסף, מאחר שביחס לקטין לא בוצעה בדיקה עיוורת</w:t>
      </w:r>
      <w:r w:rsidR="007B1468" w:rsidRPr="005D33CF">
        <w:rPr>
          <w:rFonts w:ascii="Arial" w:hAnsi="Arial" w:hint="cs"/>
          <w:noProof w:val="0"/>
          <w:rtl/>
        </w:rPr>
        <w:t>,</w:t>
      </w:r>
      <w:r w:rsidR="00536A68" w:rsidRPr="005D33CF">
        <w:rPr>
          <w:rFonts w:ascii="Arial" w:hAnsi="Arial" w:hint="cs"/>
          <w:noProof w:val="0"/>
          <w:rtl/>
        </w:rPr>
        <w:t xml:space="preserve"> קבלת הערעור עשויה להוביל לפער בין שני הילדים כשאחד ידע מיהו הורהו הגנ</w:t>
      </w:r>
      <w:r w:rsidR="007B1468" w:rsidRPr="005D33CF">
        <w:rPr>
          <w:rFonts w:ascii="Arial" w:hAnsi="Arial" w:hint="cs"/>
          <w:noProof w:val="0"/>
          <w:rtl/>
        </w:rPr>
        <w:t>ט</w:t>
      </w:r>
      <w:r w:rsidR="00536A68" w:rsidRPr="005D33CF">
        <w:rPr>
          <w:rFonts w:ascii="Arial" w:hAnsi="Arial" w:hint="cs"/>
          <w:noProof w:val="0"/>
          <w:rtl/>
        </w:rPr>
        <w:t>י ואחד לא יידע</w:t>
      </w:r>
      <w:r w:rsidR="007B1468" w:rsidRPr="005D33CF">
        <w:rPr>
          <w:rFonts w:ascii="Arial" w:hAnsi="Arial" w:hint="cs"/>
          <w:noProof w:val="0"/>
          <w:rtl/>
        </w:rPr>
        <w:t>,</w:t>
      </w:r>
      <w:r w:rsidR="00536A68" w:rsidRPr="005D33CF">
        <w:rPr>
          <w:rFonts w:ascii="Arial" w:hAnsi="Arial" w:hint="cs"/>
          <w:noProof w:val="0"/>
          <w:rtl/>
        </w:rPr>
        <w:t xml:space="preserve"> והדבר ייפגע בטובת הקטינה.</w:t>
      </w:r>
    </w:p>
    <w:p w:rsidR="00536A68" w:rsidRPr="007B1468" w:rsidRDefault="00536A68" w:rsidP="004F499C">
      <w:pPr>
        <w:pStyle w:val="ad"/>
        <w:spacing w:line="360" w:lineRule="auto"/>
        <w:rPr>
          <w:rFonts w:ascii="Arial" w:hAnsi="Arial"/>
          <w:noProof w:val="0"/>
          <w:rtl/>
        </w:rPr>
      </w:pPr>
    </w:p>
    <w:p w:rsidR="00353197" w:rsidRPr="005D33CF" w:rsidRDefault="005D33CF" w:rsidP="004F499C">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536A68" w:rsidRPr="005D33CF">
        <w:rPr>
          <w:rFonts w:ascii="Arial" w:hAnsi="Arial" w:hint="cs"/>
          <w:noProof w:val="0"/>
          <w:rtl/>
        </w:rPr>
        <w:t>פסק דין הצהרתי לאבה</w:t>
      </w:r>
      <w:r w:rsidR="00CA47F1">
        <w:rPr>
          <w:rFonts w:ascii="Arial" w:hAnsi="Arial" w:hint="cs"/>
          <w:noProof w:val="0"/>
          <w:rtl/>
        </w:rPr>
        <w:t xml:space="preserve">ות צריך לשקף אמת עובדתית פשוטה </w:t>
      </w:r>
      <w:r w:rsidR="00536A68" w:rsidRPr="005D33CF">
        <w:rPr>
          <w:rFonts w:ascii="Arial" w:hAnsi="Arial" w:hint="cs"/>
          <w:noProof w:val="0"/>
          <w:rtl/>
        </w:rPr>
        <w:t>- מיהו ההורה הביולוגי של הקטין ולכן עליו להתייחס לעובדות ולא למצב ערטילאי.</w:t>
      </w:r>
      <w:r w:rsidR="00340B44" w:rsidRPr="005D33CF">
        <w:rPr>
          <w:rFonts w:ascii="Arial" w:hAnsi="Arial" w:hint="cs"/>
          <w:noProof w:val="0"/>
          <w:rtl/>
        </w:rPr>
        <w:t xml:space="preserve"> </w:t>
      </w:r>
      <w:r w:rsidR="00CA47F1">
        <w:rPr>
          <w:rFonts w:ascii="Arial" w:hAnsi="Arial" w:hint="cs"/>
          <w:noProof w:val="0"/>
          <w:rtl/>
        </w:rPr>
        <w:t>אין הבדל בין</w:t>
      </w:r>
      <w:r w:rsidR="00536A68" w:rsidRPr="005D33CF">
        <w:rPr>
          <w:rFonts w:ascii="Arial" w:hAnsi="Arial" w:hint="cs"/>
          <w:noProof w:val="0"/>
          <w:rtl/>
        </w:rPr>
        <w:t xml:space="preserve"> סוגי ההורות. מרגע שתכונן הורות על יסוד צו הורות פסיקתי, שני</w:t>
      </w:r>
      <w:r w:rsidR="007B1468" w:rsidRPr="005D33CF">
        <w:rPr>
          <w:rFonts w:ascii="Arial" w:hAnsi="Arial" w:hint="cs"/>
          <w:noProof w:val="0"/>
          <w:rtl/>
        </w:rPr>
        <w:t xml:space="preserve"> המערערים </w:t>
      </w:r>
      <w:r w:rsidR="00536A68" w:rsidRPr="005D33CF">
        <w:rPr>
          <w:rFonts w:ascii="Arial" w:hAnsi="Arial" w:hint="cs"/>
          <w:noProof w:val="0"/>
          <w:rtl/>
        </w:rPr>
        <w:t xml:space="preserve">יהיו הורים שווים לכל </w:t>
      </w:r>
      <w:r w:rsidR="00353197" w:rsidRPr="005D33CF">
        <w:rPr>
          <w:rFonts w:ascii="Arial" w:hAnsi="Arial" w:hint="cs"/>
          <w:noProof w:val="0"/>
          <w:rtl/>
        </w:rPr>
        <w:t>דבר ועניין.</w:t>
      </w:r>
    </w:p>
    <w:p w:rsidR="00353197" w:rsidRPr="007B1468" w:rsidRDefault="00353197" w:rsidP="00353197">
      <w:pPr>
        <w:pStyle w:val="ad"/>
        <w:rPr>
          <w:rFonts w:ascii="Arial" w:hAnsi="Arial"/>
          <w:noProof w:val="0"/>
          <w:rtl/>
        </w:rPr>
      </w:pPr>
    </w:p>
    <w:p w:rsidR="00353197" w:rsidRPr="005D33CF" w:rsidRDefault="005D33CF" w:rsidP="007B4598">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353197" w:rsidRPr="005D33CF">
        <w:rPr>
          <w:rFonts w:ascii="Arial" w:hAnsi="Arial" w:hint="cs"/>
          <w:noProof w:val="0"/>
          <w:rtl/>
        </w:rPr>
        <w:t xml:space="preserve">במסגרת מתן צו הורות פסיקתי, על מבקש הצו לעמוד בתנאים </w:t>
      </w:r>
      <w:r w:rsidR="007B4598">
        <w:rPr>
          <w:rFonts w:ascii="Arial" w:hAnsi="Arial" w:hint="cs"/>
          <w:noProof w:val="0"/>
          <w:rtl/>
        </w:rPr>
        <w:t xml:space="preserve">מסוימים </w:t>
      </w:r>
      <w:r w:rsidR="00353197" w:rsidRPr="005D33CF">
        <w:rPr>
          <w:rFonts w:ascii="Arial" w:hAnsi="Arial" w:hint="cs"/>
          <w:noProof w:val="0"/>
          <w:rtl/>
        </w:rPr>
        <w:t>ל</w:t>
      </w:r>
      <w:r w:rsidR="007B4598">
        <w:rPr>
          <w:rFonts w:ascii="Arial" w:hAnsi="Arial" w:hint="cs"/>
          <w:noProof w:val="0"/>
          <w:rtl/>
        </w:rPr>
        <w:t xml:space="preserve">צורך </w:t>
      </w:r>
      <w:r w:rsidR="00353197" w:rsidRPr="005D33CF">
        <w:rPr>
          <w:rFonts w:ascii="Arial" w:hAnsi="Arial" w:hint="cs"/>
          <w:noProof w:val="0"/>
          <w:rtl/>
        </w:rPr>
        <w:t>קבלתו הכוללים למשל תושבות והעדר רישום פלילי. בחינה כזו מחייבת ידיעה מי מ</w:t>
      </w:r>
      <w:r w:rsidR="007B1468" w:rsidRPr="005D33CF">
        <w:rPr>
          <w:rFonts w:ascii="Arial" w:hAnsi="Arial" w:hint="cs"/>
          <w:noProof w:val="0"/>
          <w:rtl/>
        </w:rPr>
        <w:t>ב</w:t>
      </w:r>
      <w:r w:rsidR="00353197" w:rsidRPr="005D33CF">
        <w:rPr>
          <w:rFonts w:ascii="Arial" w:hAnsi="Arial" w:hint="cs"/>
          <w:noProof w:val="0"/>
          <w:rtl/>
        </w:rPr>
        <w:t xml:space="preserve">ין המערערים הוא </w:t>
      </w:r>
      <w:r w:rsidR="007B1468" w:rsidRPr="005D33CF">
        <w:rPr>
          <w:rFonts w:ascii="Arial" w:hAnsi="Arial" w:hint="cs"/>
          <w:noProof w:val="0"/>
          <w:rtl/>
        </w:rPr>
        <w:t>ה</w:t>
      </w:r>
      <w:r w:rsidR="00353197" w:rsidRPr="005D33CF">
        <w:rPr>
          <w:rFonts w:ascii="Arial" w:hAnsi="Arial" w:hint="cs"/>
          <w:noProof w:val="0"/>
          <w:rtl/>
        </w:rPr>
        <w:t>הורה הביולוגי ומי מהם מבקש לכונן הורות משפטית. ברור שלא ניתן לכונן הורות משפטית על בסיס זיקה לזיקה</w:t>
      </w:r>
      <w:r w:rsidR="001F2B11">
        <w:rPr>
          <w:rFonts w:ascii="Arial" w:hAnsi="Arial" w:hint="cs"/>
          <w:noProof w:val="0"/>
          <w:rtl/>
        </w:rPr>
        <w:t>,</w:t>
      </w:r>
      <w:r w:rsidR="00353197" w:rsidRPr="005D33CF">
        <w:rPr>
          <w:rFonts w:ascii="Arial" w:hAnsi="Arial" w:hint="cs"/>
          <w:noProof w:val="0"/>
          <w:rtl/>
        </w:rPr>
        <w:t xml:space="preserve"> כאשר לא ידוע באיזו זיקה מדובר ולמי היא מיוחסת ולא ניתן לכונן הורות משפטית שלא עבור אדם מסוים.</w:t>
      </w:r>
    </w:p>
    <w:p w:rsidR="00353197" w:rsidRPr="00353197" w:rsidRDefault="00353197" w:rsidP="004F499C">
      <w:pPr>
        <w:pStyle w:val="ad"/>
        <w:spacing w:line="360" w:lineRule="auto"/>
        <w:rPr>
          <w:rFonts w:ascii="Arial" w:hAnsi="Arial"/>
          <w:noProof w:val="0"/>
          <w:rtl/>
        </w:rPr>
      </w:pPr>
    </w:p>
    <w:p w:rsidR="00353197" w:rsidRPr="005D33CF" w:rsidRDefault="005D33CF" w:rsidP="004F499C">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353197" w:rsidRPr="005D33CF">
        <w:rPr>
          <w:rFonts w:ascii="Arial" w:hAnsi="Arial" w:hint="cs"/>
          <w:b/>
          <w:bCs/>
          <w:noProof w:val="0"/>
          <w:rtl/>
        </w:rPr>
        <w:t>דיון והכרעה</w:t>
      </w:r>
    </w:p>
    <w:p w:rsidR="00353197" w:rsidRDefault="00353197" w:rsidP="004F499C">
      <w:pPr>
        <w:spacing w:line="360" w:lineRule="auto"/>
        <w:jc w:val="both"/>
        <w:rPr>
          <w:rFonts w:ascii="Arial" w:hAnsi="Arial"/>
          <w:noProof w:val="0"/>
          <w:rtl/>
        </w:rPr>
      </w:pPr>
    </w:p>
    <w:p w:rsidR="007B1468" w:rsidRPr="005D33CF" w:rsidRDefault="005D33CF" w:rsidP="004F499C">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7B1468" w:rsidRPr="005D33CF">
        <w:rPr>
          <w:rFonts w:ascii="Arial" w:hAnsi="Arial" w:hint="cs"/>
          <w:noProof w:val="0"/>
          <w:rtl/>
        </w:rPr>
        <w:t>לאחר עיון בטענות הצדדים, אני סבור שדין הערעור להידחות.</w:t>
      </w:r>
    </w:p>
    <w:p w:rsidR="005D33CF" w:rsidRDefault="005D33CF" w:rsidP="004F499C">
      <w:pPr>
        <w:spacing w:line="360" w:lineRule="auto"/>
        <w:jc w:val="both"/>
        <w:rPr>
          <w:rFonts w:ascii="Arial" w:hAnsi="Arial"/>
          <w:noProof w:val="0"/>
          <w:rtl/>
        </w:rPr>
      </w:pPr>
    </w:p>
    <w:p w:rsidR="00603145" w:rsidRPr="005D33CF" w:rsidRDefault="005D33CF" w:rsidP="00CA47F1">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603145" w:rsidRPr="005D33CF">
        <w:rPr>
          <w:rFonts w:ascii="Arial" w:hAnsi="Arial" w:hint="cs"/>
          <w:noProof w:val="0"/>
          <w:rtl/>
        </w:rPr>
        <w:t xml:space="preserve">הפסיקה </w:t>
      </w:r>
      <w:r w:rsidR="00D51F3D" w:rsidRPr="005D33CF">
        <w:rPr>
          <w:rFonts w:ascii="Arial" w:hAnsi="Arial" w:hint="cs"/>
          <w:noProof w:val="0"/>
          <w:rtl/>
        </w:rPr>
        <w:t>הכיר</w:t>
      </w:r>
      <w:r w:rsidR="00603145" w:rsidRPr="005D33CF">
        <w:rPr>
          <w:rFonts w:ascii="Arial" w:hAnsi="Arial" w:hint="cs"/>
          <w:noProof w:val="0"/>
          <w:rtl/>
        </w:rPr>
        <w:t>ה</w:t>
      </w:r>
      <w:r w:rsidR="00D51F3D" w:rsidRPr="005D33CF">
        <w:rPr>
          <w:rFonts w:ascii="Arial" w:hAnsi="Arial" w:hint="cs"/>
          <w:noProof w:val="0"/>
          <w:rtl/>
        </w:rPr>
        <w:t xml:space="preserve"> בהורות מתוקף קשר זוגי עם בעל הזיקה הגנטית, כאחת מדרכי ההורות המוכרים בדין הישראלי (</w:t>
      </w:r>
      <w:r w:rsidR="00CA47F1" w:rsidRPr="00CA47F1">
        <w:rPr>
          <w:rFonts w:ascii="David" w:hAnsi="David" w:hint="cs"/>
          <w:b/>
          <w:rtl/>
        </w:rPr>
        <w:t>בג"ץ 566/11</w:t>
      </w:r>
      <w:r w:rsidR="00CA47F1">
        <w:rPr>
          <w:rFonts w:ascii="David" w:hAnsi="David" w:hint="cs"/>
          <w:bCs/>
          <w:rtl/>
        </w:rPr>
        <w:t xml:space="preserve"> </w:t>
      </w:r>
      <w:r w:rsidR="00D51F3D" w:rsidRPr="005D33CF">
        <w:rPr>
          <w:rFonts w:ascii="David" w:hAnsi="David"/>
          <w:bCs/>
          <w:rtl/>
        </w:rPr>
        <w:t xml:space="preserve">ממט מגד נ' משרד הפנים </w:t>
      </w:r>
      <w:r w:rsidR="00D51F3D" w:rsidRPr="005D33CF">
        <w:rPr>
          <w:rFonts w:ascii="Century" w:hAnsi="Century"/>
          <w:rtl/>
        </w:rPr>
        <w:t>(</w:t>
      </w:r>
      <w:r w:rsidR="00CA47F1">
        <w:rPr>
          <w:rFonts w:ascii="Century" w:hAnsi="Century" w:hint="cs"/>
          <w:rtl/>
        </w:rPr>
        <w:t>28.1.14</w:t>
      </w:r>
      <w:r w:rsidR="00D51F3D" w:rsidRPr="005D33CF">
        <w:rPr>
          <w:rFonts w:ascii="Century" w:hAnsi="Century"/>
          <w:rtl/>
        </w:rPr>
        <w:t>)</w:t>
      </w:r>
      <w:r w:rsidR="00D51F3D" w:rsidRPr="005D33CF">
        <w:rPr>
          <w:rFonts w:ascii="Arial" w:hAnsi="Arial" w:hint="cs"/>
          <w:noProof w:val="0"/>
          <w:rtl/>
        </w:rPr>
        <w:t xml:space="preserve">). כפי שקבע כב' השופט הנדל בבע"מ 1118/14 </w:t>
      </w:r>
      <w:r w:rsidR="00D51F3D" w:rsidRPr="005D33CF">
        <w:rPr>
          <w:rFonts w:ascii="Arial" w:hAnsi="Arial" w:hint="cs"/>
          <w:b/>
          <w:bCs/>
          <w:noProof w:val="0"/>
          <w:rtl/>
        </w:rPr>
        <w:t>פלונית נ' משרד הרווחה</w:t>
      </w:r>
      <w:r w:rsidR="00D51F3D" w:rsidRPr="005D33CF">
        <w:rPr>
          <w:rFonts w:ascii="Arial" w:hAnsi="Arial" w:hint="cs"/>
          <w:noProof w:val="0"/>
          <w:rtl/>
        </w:rPr>
        <w:t xml:space="preserve"> (1.4.15): </w:t>
      </w:r>
    </w:p>
    <w:p w:rsidR="00603145" w:rsidRPr="00603145" w:rsidRDefault="00603145" w:rsidP="004F499C">
      <w:pPr>
        <w:spacing w:line="360" w:lineRule="auto"/>
        <w:ind w:left="360"/>
        <w:jc w:val="both"/>
        <w:rPr>
          <w:rFonts w:ascii="Arial" w:hAnsi="Arial"/>
          <w:b/>
          <w:bCs/>
          <w:noProof w:val="0"/>
        </w:rPr>
      </w:pPr>
    </w:p>
    <w:p w:rsidR="00D51F3D" w:rsidRDefault="00D51F3D" w:rsidP="004F499C">
      <w:pPr>
        <w:spacing w:line="360" w:lineRule="auto"/>
        <w:ind w:left="720"/>
        <w:jc w:val="both"/>
        <w:rPr>
          <w:rFonts w:ascii="Arial" w:hAnsi="Arial"/>
          <w:b/>
          <w:bCs/>
          <w:noProof w:val="0"/>
          <w:rtl/>
        </w:rPr>
      </w:pPr>
      <w:r w:rsidRPr="00603145">
        <w:rPr>
          <w:rFonts w:ascii="Arial" w:hAnsi="Arial" w:hint="cs"/>
          <w:noProof w:val="0"/>
          <w:rtl/>
        </w:rPr>
        <w:t>"</w:t>
      </w:r>
      <w:r w:rsidRPr="00603145">
        <w:rPr>
          <w:rFonts w:ascii="Century" w:hAnsi="Century"/>
          <w:b/>
          <w:bCs/>
          <w:rtl/>
        </w:rPr>
        <w:t>נכון להיום הדין הישראלי מכיר בהורות על בסיס ארבעה אדנים חלופיים ומשלימים – זיקה גנטית, זיקה פיזיולוגית, אימוץ וזיקה לזיקה (קרי, מתוקף קשר זוגיות עם בעל או בעלת הזיקה הגנטית)</w:t>
      </w:r>
      <w:r w:rsidRPr="00603145">
        <w:rPr>
          <w:rFonts w:ascii="Century" w:hAnsi="Century" w:hint="cs"/>
          <w:b/>
          <w:bCs/>
          <w:rtl/>
        </w:rPr>
        <w:t>"</w:t>
      </w:r>
      <w:r w:rsidRPr="00603145">
        <w:rPr>
          <w:rFonts w:ascii="Century" w:hAnsi="Century"/>
          <w:b/>
          <w:bCs/>
          <w:rtl/>
        </w:rPr>
        <w:t>.</w:t>
      </w:r>
      <w:r w:rsidRPr="00603145">
        <w:rPr>
          <w:rFonts w:ascii="Century" w:hAnsi="Century" w:hint="cs"/>
          <w:b/>
          <w:bCs/>
          <w:rtl/>
        </w:rPr>
        <w:t xml:space="preserve"> בכל הנוגע לאדן של זיקה לזיקה נפסק שם כי: "</w:t>
      </w:r>
      <w:r w:rsidRPr="00603145">
        <w:rPr>
          <w:rFonts w:ascii="Century" w:hAnsi="Century"/>
          <w:b/>
          <w:bCs/>
          <w:rtl/>
        </w:rPr>
        <w:t>בתום ההליך שני בני הזוג מוכרים כהוריו של היילוד: אחד מהם מכוח הזיקה הגנטית והשני כנגזרת מהקשר הזוגי שבינו לבין ההורה הגנטי.</w:t>
      </w:r>
      <w:r w:rsidRPr="00603145">
        <w:rPr>
          <w:rFonts w:ascii="Century" w:hAnsi="Century" w:hint="cs"/>
          <w:b/>
          <w:bCs/>
          <w:rtl/>
        </w:rPr>
        <w:t>..</w:t>
      </w:r>
      <w:r w:rsidRPr="00603145">
        <w:rPr>
          <w:rFonts w:ascii="Century" w:hAnsi="Century"/>
          <w:b/>
          <w:bCs/>
          <w:rtl/>
        </w:rPr>
        <w:t xml:space="preserve"> הזיקה הגנטית מהווה את הבסיס המרכזי להקניית מעמד של הורות</w:t>
      </w:r>
      <w:r w:rsidRPr="00CA47F1">
        <w:rPr>
          <w:rFonts w:ascii="Century" w:hAnsi="Century" w:hint="cs"/>
          <w:rtl/>
        </w:rPr>
        <w:t>"</w:t>
      </w:r>
      <w:r w:rsidRPr="00CA47F1">
        <w:rPr>
          <w:rFonts w:ascii="Century" w:hAnsi="Century"/>
          <w:rtl/>
        </w:rPr>
        <w:t>.</w:t>
      </w:r>
      <w:r w:rsidRPr="00603145">
        <w:rPr>
          <w:rFonts w:ascii="Century" w:hAnsi="Century"/>
          <w:b/>
          <w:bCs/>
          <w:rtl/>
        </w:rPr>
        <w:t xml:space="preserve">  </w:t>
      </w:r>
    </w:p>
    <w:p w:rsidR="00797BF2" w:rsidRDefault="00797BF2" w:rsidP="004F499C">
      <w:pPr>
        <w:spacing w:line="360" w:lineRule="auto"/>
        <w:ind w:left="720"/>
        <w:jc w:val="both"/>
        <w:rPr>
          <w:rFonts w:ascii="Arial" w:hAnsi="Arial"/>
          <w:b/>
          <w:bCs/>
          <w:noProof w:val="0"/>
          <w:rtl/>
        </w:rPr>
      </w:pPr>
    </w:p>
    <w:p w:rsidR="00797BF2" w:rsidRPr="00797BF2" w:rsidRDefault="00797BF2" w:rsidP="00797BF2">
      <w:pPr>
        <w:spacing w:line="360" w:lineRule="auto"/>
        <w:ind w:left="720"/>
        <w:jc w:val="both"/>
        <w:rPr>
          <w:rFonts w:ascii="Arial" w:hAnsi="Arial"/>
          <w:noProof w:val="0"/>
        </w:rPr>
      </w:pPr>
      <w:r>
        <w:rPr>
          <w:rFonts w:ascii="Arial" w:hAnsi="Arial" w:hint="cs"/>
          <w:noProof w:val="0"/>
          <w:rtl/>
        </w:rPr>
        <w:t xml:space="preserve">ראו גם: בע"מ 3518/18 </w:t>
      </w:r>
      <w:r>
        <w:rPr>
          <w:rFonts w:ascii="Arial" w:hAnsi="Arial" w:hint="cs"/>
          <w:b/>
          <w:bCs/>
          <w:noProof w:val="0"/>
          <w:rtl/>
        </w:rPr>
        <w:t xml:space="preserve">ב"כ היועץ המשפטי לממשלה נ' פלוני </w:t>
      </w:r>
      <w:r>
        <w:rPr>
          <w:rFonts w:ascii="Arial" w:hAnsi="Arial" w:hint="cs"/>
          <w:noProof w:val="0"/>
          <w:rtl/>
        </w:rPr>
        <w:t xml:space="preserve">(3.2.20) והדיון הנוסף על פסק דין זה </w:t>
      </w:r>
      <w:r>
        <w:rPr>
          <w:rFonts w:ascii="Arial" w:hAnsi="Arial"/>
          <w:noProof w:val="0"/>
          <w:rtl/>
        </w:rPr>
        <w:t>–</w:t>
      </w:r>
      <w:r>
        <w:rPr>
          <w:rFonts w:ascii="Arial" w:hAnsi="Arial" w:hint="cs"/>
          <w:noProof w:val="0"/>
          <w:rtl/>
        </w:rPr>
        <w:t xml:space="preserve"> דנ"א 1297/20 </w:t>
      </w:r>
      <w:r w:rsidRPr="005D33CF">
        <w:rPr>
          <w:rFonts w:ascii="Arial" w:hAnsi="Arial" w:hint="cs"/>
          <w:b/>
          <w:bCs/>
          <w:noProof w:val="0"/>
          <w:rtl/>
        </w:rPr>
        <w:t xml:space="preserve">פלוני נ' </w:t>
      </w:r>
      <w:r>
        <w:rPr>
          <w:rFonts w:ascii="Arial" w:hAnsi="Arial" w:hint="cs"/>
          <w:b/>
          <w:bCs/>
          <w:noProof w:val="0"/>
          <w:rtl/>
        </w:rPr>
        <w:t>היועץ המשפטי לממשלה</w:t>
      </w:r>
      <w:r w:rsidRPr="005D33CF">
        <w:rPr>
          <w:rFonts w:ascii="Arial" w:hAnsi="Arial" w:hint="cs"/>
          <w:noProof w:val="0"/>
          <w:rtl/>
        </w:rPr>
        <w:t xml:space="preserve"> (25.7.22) </w:t>
      </w:r>
      <w:r>
        <w:rPr>
          <w:rFonts w:ascii="Arial" w:hAnsi="Arial" w:hint="cs"/>
          <w:noProof w:val="0"/>
          <w:rtl/>
        </w:rPr>
        <w:t>(</w:t>
      </w:r>
      <w:r w:rsidRPr="005D33CF">
        <w:rPr>
          <w:rFonts w:ascii="Arial" w:hAnsi="Arial" w:hint="cs"/>
          <w:noProof w:val="0"/>
          <w:rtl/>
        </w:rPr>
        <w:t xml:space="preserve">להלן: </w:t>
      </w:r>
      <w:r w:rsidRPr="005D33CF">
        <w:rPr>
          <w:rFonts w:ascii="Arial" w:hAnsi="Arial" w:hint="cs"/>
          <w:b/>
          <w:bCs/>
          <w:noProof w:val="0"/>
          <w:rtl/>
        </w:rPr>
        <w:t>פסק דין פלוני</w:t>
      </w:r>
      <w:r w:rsidRPr="00797BF2">
        <w:rPr>
          <w:rFonts w:ascii="Arial" w:hAnsi="Arial" w:hint="cs"/>
          <w:noProof w:val="0"/>
          <w:rtl/>
        </w:rPr>
        <w:t>)</w:t>
      </w:r>
      <w:r>
        <w:rPr>
          <w:rFonts w:ascii="Arial" w:hAnsi="Arial" w:hint="cs"/>
          <w:noProof w:val="0"/>
          <w:rtl/>
        </w:rPr>
        <w:t xml:space="preserve">. </w:t>
      </w:r>
    </w:p>
    <w:p w:rsidR="00D51F3D" w:rsidRPr="00D51F3D" w:rsidRDefault="00D51F3D" w:rsidP="004F499C">
      <w:pPr>
        <w:pStyle w:val="ad"/>
        <w:spacing w:line="360" w:lineRule="auto"/>
        <w:rPr>
          <w:rFonts w:ascii="Arial" w:hAnsi="Arial"/>
          <w:noProof w:val="0"/>
          <w:rtl/>
        </w:rPr>
      </w:pPr>
    </w:p>
    <w:p w:rsidR="00D51F3D" w:rsidRDefault="005D33CF" w:rsidP="001F2B1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51F3D" w:rsidRPr="005D33CF">
        <w:rPr>
          <w:rFonts w:ascii="Arial" w:hAnsi="Arial" w:hint="cs"/>
          <w:noProof w:val="0"/>
          <w:rtl/>
        </w:rPr>
        <w:t xml:space="preserve">אדן ההורות מכוח זיקה לזיקה מורכב משני שלבים: השלב הראשון הוא קביעת ההורה הגנטי (בדרך כלל באמצעות בדיקה לסיווג רקמות) והשלב השני הוא קביעה שאכן בן הזוג של ההורה הגנטי עונה לדרישות שנקבעו בפסיקה </w:t>
      </w:r>
      <w:r w:rsidR="00603145" w:rsidRPr="005D33CF">
        <w:rPr>
          <w:rFonts w:ascii="Arial" w:hAnsi="Arial" w:hint="cs"/>
          <w:noProof w:val="0"/>
          <w:rtl/>
        </w:rPr>
        <w:t>ו</w:t>
      </w:r>
      <w:r w:rsidR="00D51F3D" w:rsidRPr="005D33CF">
        <w:rPr>
          <w:rFonts w:ascii="Arial" w:hAnsi="Arial" w:hint="cs"/>
          <w:noProof w:val="0"/>
          <w:rtl/>
        </w:rPr>
        <w:t>המקנות לו הורות מכוח היותו בן זוג.</w:t>
      </w:r>
      <w:r w:rsidR="001F2B11">
        <w:rPr>
          <w:rFonts w:ascii="Arial" w:hAnsi="Arial" w:hint="cs"/>
          <w:noProof w:val="0"/>
          <w:rtl/>
        </w:rPr>
        <w:t xml:space="preserve"> </w:t>
      </w:r>
      <w:r w:rsidR="00D51F3D">
        <w:rPr>
          <w:rFonts w:ascii="Arial" w:hAnsi="Arial" w:hint="cs"/>
          <w:noProof w:val="0"/>
          <w:rtl/>
        </w:rPr>
        <w:t>המערערים מבקשים להימנע מביצוע שני השלבים וברצונם לוותר על בירור זהותו של ההורה הגנטי. עמדה זו לא עולה בקנה אחד עם האדן שהוכר בפסיקה. האדן של זיקה לזיקה מבוסס על כך שראשית יבוצע בירור מי הוא ההורה הגנטי</w:t>
      </w:r>
      <w:r w:rsidR="00603145">
        <w:rPr>
          <w:rFonts w:ascii="Arial" w:hAnsi="Arial" w:hint="cs"/>
          <w:noProof w:val="0"/>
          <w:rtl/>
        </w:rPr>
        <w:t xml:space="preserve"> שהוא כאמור "</w:t>
      </w:r>
      <w:r w:rsidR="00603145" w:rsidRPr="00603145">
        <w:rPr>
          <w:rFonts w:ascii="Century" w:hAnsi="Century"/>
          <w:b/>
          <w:bCs/>
          <w:rtl/>
        </w:rPr>
        <w:t>הבסיס המרכזי להקניית מעמד של הורות</w:t>
      </w:r>
      <w:r w:rsidR="00603145" w:rsidRPr="00CA47F1">
        <w:rPr>
          <w:rFonts w:ascii="Century" w:hAnsi="Century" w:hint="cs"/>
          <w:rtl/>
        </w:rPr>
        <w:t>"</w:t>
      </w:r>
      <w:r w:rsidR="00603145" w:rsidRPr="00CA47F1">
        <w:rPr>
          <w:rFonts w:ascii="Century" w:hAnsi="Century"/>
          <w:rtl/>
        </w:rPr>
        <w:t>.</w:t>
      </w:r>
      <w:r w:rsidR="00CA47F1">
        <w:rPr>
          <w:rFonts w:ascii="Century" w:hAnsi="Century"/>
          <w:b/>
          <w:bCs/>
          <w:rtl/>
        </w:rPr>
        <w:t xml:space="preserve"> </w:t>
      </w:r>
      <w:r w:rsidR="00603145">
        <w:rPr>
          <w:rFonts w:ascii="Arial" w:hAnsi="Arial" w:hint="cs"/>
          <w:noProof w:val="0"/>
          <w:rtl/>
        </w:rPr>
        <w:t>ב</w:t>
      </w:r>
      <w:r w:rsidR="00D51F3D">
        <w:rPr>
          <w:rFonts w:ascii="Arial" w:hAnsi="Arial" w:hint="cs"/>
          <w:noProof w:val="0"/>
          <w:rtl/>
        </w:rPr>
        <w:t xml:space="preserve">ירור זה הוא הכרחי ואין לוותר </w:t>
      </w:r>
      <w:r w:rsidR="00603145">
        <w:rPr>
          <w:rFonts w:ascii="Arial" w:hAnsi="Arial" w:hint="cs"/>
          <w:noProof w:val="0"/>
          <w:rtl/>
        </w:rPr>
        <w:t xml:space="preserve">ולדלג </w:t>
      </w:r>
      <w:r w:rsidR="00D51F3D">
        <w:rPr>
          <w:rFonts w:ascii="Arial" w:hAnsi="Arial" w:hint="cs"/>
          <w:noProof w:val="0"/>
          <w:rtl/>
        </w:rPr>
        <w:t xml:space="preserve">עליו. </w:t>
      </w:r>
    </w:p>
    <w:p w:rsidR="00D51F3D" w:rsidRPr="00CA47F1" w:rsidRDefault="00D51F3D" w:rsidP="004F499C">
      <w:pPr>
        <w:pStyle w:val="ad"/>
        <w:spacing w:line="360" w:lineRule="auto"/>
        <w:rPr>
          <w:rFonts w:ascii="Arial" w:hAnsi="Arial"/>
          <w:noProof w:val="0"/>
          <w:rtl/>
        </w:rPr>
      </w:pPr>
    </w:p>
    <w:p w:rsidR="00D51F3D" w:rsidRPr="005D33CF" w:rsidRDefault="005D33CF" w:rsidP="001F2B1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51F3D" w:rsidRPr="005D33CF">
        <w:rPr>
          <w:rFonts w:ascii="Arial" w:hAnsi="Arial" w:hint="cs"/>
          <w:noProof w:val="0"/>
          <w:rtl/>
        </w:rPr>
        <w:t xml:space="preserve">בפתח הדיון </w:t>
      </w:r>
      <w:r w:rsidR="001F2B11">
        <w:rPr>
          <w:rFonts w:ascii="Arial" w:hAnsi="Arial" w:hint="cs"/>
          <w:noProof w:val="0"/>
          <w:rtl/>
        </w:rPr>
        <w:t xml:space="preserve">בערעור שאלנו את </w:t>
      </w:r>
      <w:r w:rsidR="00D51F3D" w:rsidRPr="005D33CF">
        <w:rPr>
          <w:rFonts w:ascii="Arial" w:hAnsi="Arial" w:hint="cs"/>
          <w:noProof w:val="0"/>
          <w:rtl/>
        </w:rPr>
        <w:t>ב"כ המערערים מי מה</w:t>
      </w:r>
      <w:r w:rsidR="001F2B11">
        <w:rPr>
          <w:rFonts w:ascii="Arial" w:hAnsi="Arial" w:hint="cs"/>
          <w:noProof w:val="0"/>
          <w:rtl/>
        </w:rPr>
        <w:t>מערערים</w:t>
      </w:r>
      <w:r w:rsidR="00D51F3D" w:rsidRPr="005D33CF">
        <w:rPr>
          <w:rFonts w:ascii="Arial" w:hAnsi="Arial" w:hint="cs"/>
          <w:noProof w:val="0"/>
          <w:rtl/>
        </w:rPr>
        <w:t xml:space="preserve"> יקבל פס"ד הצהרתי לפיו הוא אבי הקטינה ומי יקבל צו הורות פסיקתי? לכאורה, לשיטת המערערים שהבדיקה </w:t>
      </w:r>
      <w:r w:rsidR="00D51F3D" w:rsidRPr="005D33CF">
        <w:rPr>
          <w:rFonts w:ascii="Arial" w:hAnsi="Arial" w:hint="cs"/>
          <w:noProof w:val="0"/>
          <w:rtl/>
        </w:rPr>
        <w:lastRenderedPageBreak/>
        <w:t xml:space="preserve">תהיה עיוורת, כיצד יידע בית המשפט מי ההורה שביחס אליו יינתן פסק דין הצהרתי אודות אבהותו ומי ההורה </w:t>
      </w:r>
      <w:r w:rsidR="00603145" w:rsidRPr="005D33CF">
        <w:rPr>
          <w:rFonts w:ascii="Arial" w:hAnsi="Arial" w:hint="cs"/>
          <w:noProof w:val="0"/>
          <w:rtl/>
        </w:rPr>
        <w:t>ש</w:t>
      </w:r>
      <w:r w:rsidR="00D51F3D" w:rsidRPr="005D33CF">
        <w:rPr>
          <w:rFonts w:ascii="Arial" w:hAnsi="Arial" w:hint="cs"/>
          <w:noProof w:val="0"/>
          <w:rtl/>
        </w:rPr>
        <w:t>יקבל צו הורות פסיקתי?</w:t>
      </w:r>
    </w:p>
    <w:p w:rsidR="00D51F3D" w:rsidRPr="00D51F3D" w:rsidRDefault="00D51F3D" w:rsidP="00D51F3D">
      <w:pPr>
        <w:pStyle w:val="ad"/>
        <w:rPr>
          <w:rFonts w:ascii="Arial" w:hAnsi="Arial"/>
          <w:noProof w:val="0"/>
          <w:rtl/>
        </w:rPr>
      </w:pPr>
    </w:p>
    <w:p w:rsidR="00D51F3D" w:rsidRPr="005D33CF" w:rsidRDefault="005D33CF" w:rsidP="001F2B1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51F3D" w:rsidRPr="005D33CF">
        <w:rPr>
          <w:rFonts w:ascii="Arial" w:hAnsi="Arial" w:hint="cs"/>
          <w:noProof w:val="0"/>
          <w:rtl/>
        </w:rPr>
        <w:t xml:space="preserve">ב"כ המערערת השיבה </w:t>
      </w:r>
      <w:r w:rsidR="00603145" w:rsidRPr="005D33CF">
        <w:rPr>
          <w:rFonts w:ascii="Arial" w:hAnsi="Arial" w:hint="cs"/>
          <w:noProof w:val="0"/>
          <w:rtl/>
        </w:rPr>
        <w:t>ש</w:t>
      </w:r>
      <w:r w:rsidR="00D51F3D" w:rsidRPr="005D33CF">
        <w:rPr>
          <w:rFonts w:ascii="Arial" w:hAnsi="Arial" w:hint="cs"/>
          <w:noProof w:val="0"/>
          <w:rtl/>
        </w:rPr>
        <w:t>מי שיקבל את צו ההורות הפסיקתי הוא ההורה שאינו גנטי (עמ' 1 שורות 24-25). אם כן, ממילא יצטרך בית המשפט לדעת מי הוא ההורה הגנטי ומי הוא ההורה מכוח זיקה לזיקה על מנת לתת צווים מתאימים. לא ברור אם כן, כיצד ניתן יהיה לבצע בדיקה עיוורת כפי שדורשים המערערים? אם תבוצע בדיקה כזו</w:t>
      </w:r>
      <w:r w:rsidR="00603145" w:rsidRPr="005D33CF">
        <w:rPr>
          <w:rFonts w:ascii="Arial" w:hAnsi="Arial" w:hint="cs"/>
          <w:noProof w:val="0"/>
          <w:rtl/>
        </w:rPr>
        <w:t>,</w:t>
      </w:r>
      <w:r w:rsidR="00FD66A4">
        <w:rPr>
          <w:rFonts w:ascii="Arial" w:hAnsi="Arial" w:hint="cs"/>
          <w:noProof w:val="0"/>
          <w:rtl/>
        </w:rPr>
        <w:t xml:space="preserve"> כיצד יידע בית המשפט </w:t>
      </w:r>
      <w:r w:rsidR="001F2B11">
        <w:rPr>
          <w:rFonts w:ascii="Arial" w:hAnsi="Arial" w:hint="cs"/>
          <w:noProof w:val="0"/>
          <w:rtl/>
        </w:rPr>
        <w:t xml:space="preserve">למי להעניק </w:t>
      </w:r>
      <w:r w:rsidR="00D51F3D" w:rsidRPr="005D33CF">
        <w:rPr>
          <w:rFonts w:ascii="Arial" w:hAnsi="Arial" w:hint="cs"/>
          <w:noProof w:val="0"/>
          <w:rtl/>
        </w:rPr>
        <w:t>פסק דין הצהרתי על אבהותו ו</w:t>
      </w:r>
      <w:r w:rsidR="001F2B11">
        <w:rPr>
          <w:rFonts w:ascii="Arial" w:hAnsi="Arial" w:hint="cs"/>
          <w:noProof w:val="0"/>
          <w:rtl/>
        </w:rPr>
        <w:t xml:space="preserve">למי יינתן </w:t>
      </w:r>
      <w:r w:rsidR="00D51F3D" w:rsidRPr="005D33CF">
        <w:rPr>
          <w:rFonts w:ascii="Arial" w:hAnsi="Arial" w:hint="cs"/>
          <w:noProof w:val="0"/>
          <w:rtl/>
        </w:rPr>
        <w:t>צו הורות פסיקתי</w:t>
      </w:r>
      <w:r w:rsidR="00603145" w:rsidRPr="005D33CF">
        <w:rPr>
          <w:rFonts w:ascii="Arial" w:hAnsi="Arial" w:hint="cs"/>
          <w:noProof w:val="0"/>
          <w:rtl/>
        </w:rPr>
        <w:t>?</w:t>
      </w:r>
    </w:p>
    <w:p w:rsidR="00D51F3D" w:rsidRPr="001F2B11" w:rsidRDefault="00D51F3D" w:rsidP="004F499C">
      <w:pPr>
        <w:pStyle w:val="ad"/>
        <w:spacing w:line="360" w:lineRule="auto"/>
        <w:rPr>
          <w:rFonts w:ascii="Arial" w:hAnsi="Arial"/>
          <w:noProof w:val="0"/>
          <w:rtl/>
        </w:rPr>
      </w:pPr>
    </w:p>
    <w:p w:rsidR="00D51F3D" w:rsidRPr="005D33CF" w:rsidRDefault="005D33CF" w:rsidP="001F2B1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51F3D" w:rsidRPr="005D33CF">
        <w:rPr>
          <w:rFonts w:ascii="Arial" w:hAnsi="Arial" w:hint="cs"/>
          <w:noProof w:val="0"/>
          <w:rtl/>
        </w:rPr>
        <w:t xml:space="preserve">העובדה שקיימים כמה אדנים להורות לא אומרת שאין הבדל באופן כינונם. שהרי, ההורות הגנטית היא </w:t>
      </w:r>
      <w:r w:rsidR="00603145" w:rsidRPr="005D33CF">
        <w:rPr>
          <w:rFonts w:ascii="Arial" w:hAnsi="Arial" w:hint="cs"/>
          <w:noProof w:val="0"/>
          <w:rtl/>
        </w:rPr>
        <w:t>הצהרתית - דקלרטיבית</w:t>
      </w:r>
      <w:r w:rsidR="00D51F3D" w:rsidRPr="005D33CF">
        <w:rPr>
          <w:rFonts w:ascii="Arial" w:hAnsi="Arial" w:hint="cs"/>
          <w:noProof w:val="0"/>
          <w:rtl/>
        </w:rPr>
        <w:t xml:space="preserve">. בית המשפט מצהיר על היותו של ההורה אבי הקטין מכוח העובדה שהקטין נוצר מחומר גנטי שלו ותמיד ההורות </w:t>
      </w:r>
      <w:r w:rsidR="00603145" w:rsidRPr="005D33CF">
        <w:rPr>
          <w:rFonts w:ascii="Arial" w:hAnsi="Arial" w:hint="cs"/>
          <w:noProof w:val="0"/>
          <w:rtl/>
        </w:rPr>
        <w:t xml:space="preserve">הגנטית </w:t>
      </w:r>
      <w:r w:rsidR="00D51F3D" w:rsidRPr="005D33CF">
        <w:rPr>
          <w:rFonts w:ascii="Arial" w:hAnsi="Arial" w:hint="cs"/>
          <w:noProof w:val="0"/>
          <w:rtl/>
        </w:rPr>
        <w:t>היא מרגע הלידה. ש</w:t>
      </w:r>
      <w:r w:rsidR="00603145" w:rsidRPr="005D33CF">
        <w:rPr>
          <w:rFonts w:ascii="Arial" w:hAnsi="Arial" w:hint="cs"/>
          <w:noProof w:val="0"/>
          <w:rtl/>
        </w:rPr>
        <w:t>ו</w:t>
      </w:r>
      <w:r w:rsidR="00D51F3D" w:rsidRPr="005D33CF">
        <w:rPr>
          <w:rFonts w:ascii="Arial" w:hAnsi="Arial" w:hint="cs"/>
          <w:noProof w:val="0"/>
          <w:rtl/>
        </w:rPr>
        <w:t>נה הדבר ביחס להורות מכוח זיקה לזיקה. הורות זו היא הורות מכוננת (קונ</w:t>
      </w:r>
      <w:r w:rsidR="00603145" w:rsidRPr="005D33CF">
        <w:rPr>
          <w:rFonts w:ascii="Arial" w:hAnsi="Arial" w:hint="cs"/>
          <w:noProof w:val="0"/>
          <w:rtl/>
        </w:rPr>
        <w:t>ס</w:t>
      </w:r>
      <w:r w:rsidR="00D51F3D" w:rsidRPr="005D33CF">
        <w:rPr>
          <w:rFonts w:ascii="Arial" w:hAnsi="Arial" w:hint="cs"/>
          <w:noProof w:val="0"/>
          <w:rtl/>
        </w:rPr>
        <w:t>טיטוטיבית) שנוצרת בעקבות קביעה שיפוטית</w:t>
      </w:r>
      <w:r w:rsidR="001F2B11">
        <w:rPr>
          <w:rFonts w:ascii="Arial" w:hAnsi="Arial" w:hint="cs"/>
          <w:noProof w:val="0"/>
          <w:rtl/>
        </w:rPr>
        <w:t xml:space="preserve"> (דעת רוב השופטים </w:t>
      </w:r>
      <w:r w:rsidR="001F2B11" w:rsidRPr="001F2B11">
        <w:rPr>
          <w:rFonts w:ascii="Arial" w:hAnsi="Arial" w:hint="cs"/>
          <w:b/>
          <w:bCs/>
          <w:noProof w:val="0"/>
          <w:rtl/>
        </w:rPr>
        <w:t>בפס</w:t>
      </w:r>
      <w:r w:rsidR="001F2B11">
        <w:rPr>
          <w:rFonts w:ascii="Arial" w:hAnsi="Arial" w:hint="cs"/>
          <w:b/>
          <w:bCs/>
          <w:noProof w:val="0"/>
          <w:rtl/>
        </w:rPr>
        <w:t>ק דין</w:t>
      </w:r>
      <w:r w:rsidR="001F2B11" w:rsidRPr="001F2B11">
        <w:rPr>
          <w:rFonts w:ascii="Arial" w:hAnsi="Arial" w:hint="cs"/>
          <w:b/>
          <w:bCs/>
          <w:noProof w:val="0"/>
          <w:rtl/>
        </w:rPr>
        <w:t xml:space="preserve"> פלוני</w:t>
      </w:r>
      <w:r w:rsidR="001F2B11">
        <w:rPr>
          <w:rFonts w:ascii="Arial" w:hAnsi="Arial" w:hint="cs"/>
          <w:noProof w:val="0"/>
          <w:rtl/>
        </w:rPr>
        <w:t>)</w:t>
      </w:r>
      <w:r w:rsidR="00D51F3D" w:rsidRPr="005D33CF">
        <w:rPr>
          <w:rFonts w:ascii="Arial" w:hAnsi="Arial" w:hint="cs"/>
          <w:noProof w:val="0"/>
          <w:rtl/>
        </w:rPr>
        <w:t xml:space="preserve"> ולכן כ</w:t>
      </w:r>
      <w:r w:rsidR="00517BBF" w:rsidRPr="005D33CF">
        <w:rPr>
          <w:rFonts w:ascii="Arial" w:hAnsi="Arial" w:hint="cs"/>
          <w:noProof w:val="0"/>
          <w:rtl/>
        </w:rPr>
        <w:t>כ</w:t>
      </w:r>
      <w:r w:rsidR="00D51F3D" w:rsidRPr="005D33CF">
        <w:rPr>
          <w:rFonts w:ascii="Arial" w:hAnsi="Arial" w:hint="cs"/>
          <w:noProof w:val="0"/>
          <w:rtl/>
        </w:rPr>
        <w:t xml:space="preserve">לל, תוקפה </w:t>
      </w:r>
      <w:r w:rsidR="00517BBF" w:rsidRPr="005D33CF">
        <w:rPr>
          <w:rFonts w:ascii="Arial" w:hAnsi="Arial" w:hint="cs"/>
          <w:noProof w:val="0"/>
          <w:rtl/>
        </w:rPr>
        <w:t xml:space="preserve">מיום ניתוק הזיקה המשפטית בין הקטין לפונדקאית או </w:t>
      </w:r>
      <w:r w:rsidR="00D51F3D" w:rsidRPr="005D33CF">
        <w:rPr>
          <w:rFonts w:ascii="Arial" w:hAnsi="Arial" w:hint="cs"/>
          <w:noProof w:val="0"/>
          <w:rtl/>
        </w:rPr>
        <w:t>מיום הינתן הצו</w:t>
      </w:r>
      <w:r w:rsidR="00603145" w:rsidRPr="005D33CF">
        <w:rPr>
          <w:rFonts w:ascii="Arial" w:hAnsi="Arial" w:hint="cs"/>
          <w:noProof w:val="0"/>
          <w:rtl/>
        </w:rPr>
        <w:t>,</w:t>
      </w:r>
      <w:r w:rsidR="00D51F3D" w:rsidRPr="005D33CF">
        <w:rPr>
          <w:rFonts w:ascii="Arial" w:hAnsi="Arial" w:hint="cs"/>
          <w:noProof w:val="0"/>
          <w:rtl/>
        </w:rPr>
        <w:t xml:space="preserve"> למעט במקרים שנקבעו בפסיקה ואשר מאפשרים תחולה רטרואקטיבית מיום הלידה</w:t>
      </w:r>
      <w:r w:rsidR="00517BBF" w:rsidRPr="005D33CF">
        <w:rPr>
          <w:rFonts w:ascii="Arial" w:hAnsi="Arial" w:hint="cs"/>
          <w:noProof w:val="0"/>
          <w:rtl/>
        </w:rPr>
        <w:t xml:space="preserve"> כגון שהבקשה הוגשה טרם הלידה או בתוך תשעה חודשים ממועד הלידה (</w:t>
      </w:r>
      <w:r w:rsidR="00797BF2">
        <w:rPr>
          <w:rFonts w:ascii="Arial" w:hAnsi="Arial" w:hint="cs"/>
          <w:noProof w:val="0"/>
          <w:rtl/>
        </w:rPr>
        <w:t>רא</w:t>
      </w:r>
      <w:r w:rsidR="001F2B11">
        <w:rPr>
          <w:rFonts w:ascii="Arial" w:hAnsi="Arial" w:hint="cs"/>
          <w:noProof w:val="0"/>
          <w:rtl/>
        </w:rPr>
        <w:t>ו</w:t>
      </w:r>
      <w:r w:rsidR="00797BF2">
        <w:rPr>
          <w:rFonts w:ascii="Arial" w:hAnsi="Arial" w:hint="cs"/>
          <w:noProof w:val="0"/>
          <w:rtl/>
        </w:rPr>
        <w:t xml:space="preserve"> ב</w:t>
      </w:r>
      <w:r w:rsidR="00517BBF" w:rsidRPr="005D33CF">
        <w:rPr>
          <w:rFonts w:ascii="Arial" w:hAnsi="Arial" w:hint="cs"/>
          <w:b/>
          <w:bCs/>
          <w:noProof w:val="0"/>
          <w:rtl/>
        </w:rPr>
        <w:t xml:space="preserve">פסק דין </w:t>
      </w:r>
      <w:r w:rsidR="00076537" w:rsidRPr="005D33CF">
        <w:rPr>
          <w:rFonts w:ascii="Arial" w:hAnsi="Arial" w:hint="cs"/>
          <w:b/>
          <w:bCs/>
          <w:noProof w:val="0"/>
          <w:rtl/>
        </w:rPr>
        <w:t>פלוני</w:t>
      </w:r>
      <w:r w:rsidR="00517BBF" w:rsidRPr="005D33CF">
        <w:rPr>
          <w:rFonts w:ascii="Arial" w:hAnsi="Arial" w:hint="cs"/>
          <w:noProof w:val="0"/>
          <w:rtl/>
        </w:rPr>
        <w:t>)</w:t>
      </w:r>
      <w:r w:rsidR="00D51F3D" w:rsidRPr="005D33CF">
        <w:rPr>
          <w:rFonts w:ascii="Arial" w:hAnsi="Arial" w:hint="cs"/>
          <w:noProof w:val="0"/>
          <w:rtl/>
        </w:rPr>
        <w:t xml:space="preserve">. </w:t>
      </w:r>
    </w:p>
    <w:p w:rsidR="00D51F3D" w:rsidRPr="00797BF2" w:rsidRDefault="00D51F3D" w:rsidP="004F499C">
      <w:pPr>
        <w:pStyle w:val="ad"/>
        <w:spacing w:line="360" w:lineRule="auto"/>
        <w:rPr>
          <w:rFonts w:ascii="Arial" w:hAnsi="Arial"/>
          <w:noProof w:val="0"/>
          <w:rtl/>
        </w:rPr>
      </w:pPr>
    </w:p>
    <w:p w:rsidR="00D51F3D" w:rsidRPr="005D33CF" w:rsidRDefault="005D33CF" w:rsidP="004F499C">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51F3D" w:rsidRPr="005D33CF">
        <w:rPr>
          <w:rFonts w:ascii="Arial" w:hAnsi="Arial" w:hint="cs"/>
          <w:noProof w:val="0"/>
          <w:rtl/>
        </w:rPr>
        <w:t>ודוק: לאחר שההו</w:t>
      </w:r>
      <w:r w:rsidR="00FD66A4">
        <w:rPr>
          <w:rFonts w:ascii="Arial" w:hAnsi="Arial" w:hint="cs"/>
          <w:noProof w:val="0"/>
          <w:rtl/>
        </w:rPr>
        <w:t xml:space="preserve">רות מכוח זיקה לזיקה מוכרת, אין </w:t>
      </w:r>
      <w:r w:rsidR="00D51F3D" w:rsidRPr="005D33CF">
        <w:rPr>
          <w:rFonts w:ascii="Arial" w:hAnsi="Arial" w:hint="cs"/>
          <w:noProof w:val="0"/>
          <w:rtl/>
        </w:rPr>
        <w:t xml:space="preserve">הבדל בתוקף </w:t>
      </w:r>
      <w:r w:rsidR="001F2B11">
        <w:rPr>
          <w:rFonts w:ascii="Arial" w:hAnsi="Arial" w:hint="cs"/>
          <w:noProof w:val="0"/>
          <w:rtl/>
        </w:rPr>
        <w:t xml:space="preserve">ובמעמד </w:t>
      </w:r>
      <w:r w:rsidR="00D51F3D" w:rsidRPr="005D33CF">
        <w:rPr>
          <w:rFonts w:ascii="Arial" w:hAnsi="Arial" w:hint="cs"/>
          <w:noProof w:val="0"/>
          <w:rtl/>
        </w:rPr>
        <w:t>ההורות. הורות מכוח זיקה לזיקה היא כמו הורות גנטית ולא מדובר בהורות "פריכה" או בעלת משקל נמוך יותר. ברם, לא ניתן להתעלם מכך שהורות גנטית שונה במהותה מהורות מכוח זיקה לזיקה מבחינת דרך יצירתה ולא ניתן ל</w:t>
      </w:r>
      <w:r w:rsidR="00603145" w:rsidRPr="005D33CF">
        <w:rPr>
          <w:rFonts w:ascii="Arial" w:hAnsi="Arial" w:hint="cs"/>
          <w:noProof w:val="0"/>
          <w:rtl/>
        </w:rPr>
        <w:t>התכחש ל</w:t>
      </w:r>
      <w:r w:rsidR="00D51F3D" w:rsidRPr="005D33CF">
        <w:rPr>
          <w:rFonts w:ascii="Arial" w:hAnsi="Arial" w:hint="cs"/>
          <w:noProof w:val="0"/>
          <w:rtl/>
        </w:rPr>
        <w:t>שוני זה באמצעות התעלמות ממנ</w:t>
      </w:r>
      <w:r w:rsidR="00603145" w:rsidRPr="005D33CF">
        <w:rPr>
          <w:rFonts w:ascii="Arial" w:hAnsi="Arial" w:hint="cs"/>
          <w:noProof w:val="0"/>
          <w:rtl/>
        </w:rPr>
        <w:t>ו</w:t>
      </w:r>
      <w:r w:rsidR="00D51F3D" w:rsidRPr="005D33CF">
        <w:rPr>
          <w:rFonts w:ascii="Arial" w:hAnsi="Arial" w:hint="cs"/>
          <w:noProof w:val="0"/>
          <w:rtl/>
        </w:rPr>
        <w:t>.</w:t>
      </w:r>
      <w:r w:rsidR="00076537" w:rsidRPr="005D33CF">
        <w:rPr>
          <w:rFonts w:ascii="Arial" w:hAnsi="Arial" w:hint="cs"/>
          <w:noProof w:val="0"/>
          <w:rtl/>
        </w:rPr>
        <w:t xml:space="preserve"> כפי שנקבע בפס"ד פלוני:</w:t>
      </w:r>
    </w:p>
    <w:p w:rsidR="00076537" w:rsidRPr="00076537" w:rsidRDefault="00076537" w:rsidP="004F499C">
      <w:pPr>
        <w:pStyle w:val="ad"/>
        <w:spacing w:line="360" w:lineRule="auto"/>
        <w:rPr>
          <w:rFonts w:ascii="Arial" w:hAnsi="Arial"/>
          <w:noProof w:val="0"/>
          <w:rtl/>
        </w:rPr>
      </w:pPr>
    </w:p>
    <w:p w:rsidR="00076537" w:rsidRPr="00FD66A4" w:rsidRDefault="00076537" w:rsidP="004F499C">
      <w:pPr>
        <w:spacing w:line="360" w:lineRule="auto"/>
        <w:ind w:left="720"/>
        <w:jc w:val="both"/>
        <w:rPr>
          <w:rFonts w:ascii="David" w:hAnsi="David"/>
          <w:b/>
          <w:bCs/>
          <w:rtl/>
        </w:rPr>
      </w:pPr>
      <w:r>
        <w:rPr>
          <w:rFonts w:ascii="David" w:hAnsi="David" w:hint="cs"/>
          <w:spacing w:val="10"/>
          <w:rtl/>
        </w:rPr>
        <w:t>"</w:t>
      </w:r>
      <w:r w:rsidRPr="00FD66A4">
        <w:rPr>
          <w:rFonts w:ascii="David" w:hAnsi="David"/>
          <w:b/>
          <w:bCs/>
          <w:rtl/>
        </w:rPr>
        <w:t>ניתן להבחין בין עצם ההכרה בהורות ובין האופן שבו ההורות נוצרת. המשפט אומנם נכון להכיר באדני הורות שונים, אך אין פירוש הדבר כי ביחס לכל אחד מאדנים אלה ההורות נוצרת באותו אופן. כך, מקום שבו קיים קשר ביולוגי בין ההורה ליילוד, הכלל המושרש בשיטתנו הוא שעצם הלידה מכוננת את ההורות וזאת ללא כל</w:t>
      </w:r>
      <w:r w:rsidR="00FD66A4">
        <w:rPr>
          <w:rFonts w:ascii="David" w:hAnsi="David"/>
          <w:b/>
          <w:bCs/>
          <w:rtl/>
        </w:rPr>
        <w:t xml:space="preserve"> צורך בפעולה נוספת מצד ההורה...</w:t>
      </w:r>
    </w:p>
    <w:p w:rsidR="00076537" w:rsidRPr="00FD66A4" w:rsidRDefault="00076537" w:rsidP="004F499C">
      <w:pPr>
        <w:spacing w:line="360" w:lineRule="auto"/>
        <w:ind w:left="720"/>
        <w:jc w:val="both"/>
        <w:rPr>
          <w:rFonts w:ascii="David" w:hAnsi="David"/>
          <w:b/>
          <w:bCs/>
          <w:noProof w:val="0"/>
          <w:rtl/>
        </w:rPr>
      </w:pPr>
      <w:r w:rsidRPr="00FD66A4">
        <w:rPr>
          <w:rFonts w:ascii="David" w:hAnsi="David"/>
          <w:b/>
          <w:bCs/>
          <w:rtl/>
        </w:rPr>
        <w:t>לא למותר להוסיף כי "משהושלם הליך הכינון", ההורות היא הורות ואין כל הבדל מבחינת הדין בין ההורה הביולוגי להורה הלא ביולוגי</w:t>
      </w:r>
      <w:r w:rsidRPr="00B53B42">
        <w:rPr>
          <w:rFonts w:ascii="David" w:hAnsi="David"/>
          <w:rtl/>
        </w:rPr>
        <w:t>".</w:t>
      </w:r>
    </w:p>
    <w:p w:rsidR="00076537" w:rsidRDefault="00076537" w:rsidP="004F499C">
      <w:pPr>
        <w:spacing w:line="360" w:lineRule="auto"/>
        <w:ind w:left="720"/>
        <w:jc w:val="both"/>
        <w:rPr>
          <w:rFonts w:ascii="David" w:hAnsi="David"/>
          <w:b/>
          <w:bCs/>
          <w:noProof w:val="0"/>
          <w:rtl/>
        </w:rPr>
      </w:pPr>
    </w:p>
    <w:p w:rsidR="00D12079" w:rsidRPr="00B53B42" w:rsidRDefault="00B53B42" w:rsidP="004F499C">
      <w:pPr>
        <w:pStyle w:val="Ruller40"/>
        <w:ind w:left="720"/>
        <w:rPr>
          <w:rFonts w:ascii="David" w:hAnsi="David" w:cs="David"/>
          <w:spacing w:val="0"/>
          <w:sz w:val="24"/>
          <w:szCs w:val="24"/>
        </w:rPr>
      </w:pPr>
      <w:r w:rsidRPr="00B53B42">
        <w:rPr>
          <w:rFonts w:ascii="David" w:hAnsi="David" w:cs="David" w:hint="cs"/>
          <w:spacing w:val="0"/>
          <w:sz w:val="24"/>
          <w:szCs w:val="24"/>
          <w:rtl/>
        </w:rPr>
        <w:t>ראו גם:</w:t>
      </w:r>
      <w:r w:rsidR="00076537" w:rsidRPr="00B53B42">
        <w:rPr>
          <w:rFonts w:ascii="David" w:hAnsi="David" w:hint="cs"/>
          <w:b/>
          <w:bCs/>
          <w:spacing w:val="0"/>
          <w:rtl/>
        </w:rPr>
        <w:t xml:space="preserve"> </w:t>
      </w:r>
      <w:r w:rsidR="00D12079" w:rsidRPr="00B53B42">
        <w:rPr>
          <w:rFonts w:ascii="David" w:hAnsi="David" w:cs="David"/>
          <w:spacing w:val="0"/>
          <w:sz w:val="24"/>
          <w:szCs w:val="24"/>
          <w:rtl/>
        </w:rPr>
        <w:t xml:space="preserve">בע"מ 4741/21 </w:t>
      </w:r>
      <w:r w:rsidR="00D12079" w:rsidRPr="00B53B42">
        <w:rPr>
          <w:rFonts w:ascii="David" w:hAnsi="David" w:cs="David"/>
          <w:b/>
          <w:bCs/>
          <w:spacing w:val="0"/>
          <w:sz w:val="24"/>
          <w:szCs w:val="24"/>
          <w:rtl/>
        </w:rPr>
        <w:t xml:space="preserve">פלונית נ' פלוני </w:t>
      </w:r>
      <w:r w:rsidR="00D12079" w:rsidRPr="00B53B42">
        <w:rPr>
          <w:rFonts w:ascii="David" w:hAnsi="David" w:cs="David"/>
          <w:spacing w:val="0"/>
          <w:sz w:val="24"/>
          <w:szCs w:val="24"/>
          <w:rtl/>
        </w:rPr>
        <w:t xml:space="preserve">(21.7.22) שבו ציין כב' השופט הנדל כי: </w:t>
      </w:r>
      <w:r w:rsidR="00D12079" w:rsidRPr="00D12079">
        <w:rPr>
          <w:rFonts w:ascii="David" w:hAnsi="David" w:cs="David"/>
          <w:sz w:val="24"/>
          <w:szCs w:val="24"/>
          <w:rtl/>
        </w:rPr>
        <w:t>"</w:t>
      </w:r>
      <w:r w:rsidR="00D12079" w:rsidRPr="00B53B42">
        <w:rPr>
          <w:rFonts w:ascii="David" w:hAnsi="David" w:cs="David"/>
          <w:b/>
          <w:bCs/>
          <w:spacing w:val="0"/>
          <w:sz w:val="24"/>
          <w:szCs w:val="24"/>
          <w:rtl/>
        </w:rPr>
        <w:t xml:space="preserve">ארבע דרכים מוליכות אל טרקלין ההורות, וכל אחת מהן מזמנת אתגרים ומכשולים ייחודיים. </w:t>
      </w:r>
      <w:r w:rsidR="00D12079" w:rsidRPr="00B53B42">
        <w:rPr>
          <w:rFonts w:ascii="David" w:hAnsi="David" w:cs="David"/>
          <w:b/>
          <w:bCs/>
          <w:spacing w:val="0"/>
          <w:sz w:val="24"/>
          <w:szCs w:val="24"/>
          <w:rtl/>
        </w:rPr>
        <w:lastRenderedPageBreak/>
        <w:t>אולם, משנכנס אדם בשערי הטרקלין, הדרך בה צעד מאבדת מחשיבותה, והוא נושא במארג זהה של זכויות וחובות כלפי ילדיו</w:t>
      </w:r>
      <w:r w:rsidR="00D12079" w:rsidRPr="00B53B42">
        <w:rPr>
          <w:rFonts w:ascii="David" w:hAnsi="David" w:cs="David"/>
          <w:spacing w:val="0"/>
          <w:sz w:val="24"/>
          <w:szCs w:val="24"/>
          <w:rtl/>
        </w:rPr>
        <w:t>".</w:t>
      </w:r>
    </w:p>
    <w:p w:rsidR="00517BBF" w:rsidRPr="005D33CF" w:rsidRDefault="00517BBF" w:rsidP="00517BBF">
      <w:pPr>
        <w:rPr>
          <w:rFonts w:ascii="Arial" w:hAnsi="Arial"/>
          <w:noProof w:val="0"/>
          <w:rtl/>
        </w:rPr>
      </w:pPr>
    </w:p>
    <w:p w:rsidR="00517BBF" w:rsidRPr="005D33CF" w:rsidRDefault="005D33CF" w:rsidP="007B4598">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517BBF" w:rsidRPr="005D33CF">
        <w:rPr>
          <w:rFonts w:ascii="Arial" w:hAnsi="Arial" w:hint="cs"/>
          <w:noProof w:val="0"/>
          <w:rtl/>
        </w:rPr>
        <w:t xml:space="preserve">כפי שמפורט בפסק הדין </w:t>
      </w:r>
      <w:r w:rsidR="00603145" w:rsidRPr="005D33CF">
        <w:rPr>
          <w:rFonts w:ascii="Arial" w:hAnsi="Arial" w:hint="cs"/>
          <w:noProof w:val="0"/>
          <w:rtl/>
        </w:rPr>
        <w:t>פלוני</w:t>
      </w:r>
      <w:r w:rsidR="00517BBF" w:rsidRPr="005D33CF">
        <w:rPr>
          <w:rFonts w:ascii="Arial" w:hAnsi="Arial" w:hint="cs"/>
          <w:noProof w:val="0"/>
          <w:rtl/>
        </w:rPr>
        <w:t xml:space="preserve"> (פסקה 24</w:t>
      </w:r>
      <w:r w:rsidR="00084D23">
        <w:rPr>
          <w:rFonts w:ascii="Arial" w:hAnsi="Arial" w:hint="cs"/>
          <w:noProof w:val="0"/>
          <w:rtl/>
        </w:rPr>
        <w:t xml:space="preserve"> לפסק דינה של כב' הנשיאה חיות), </w:t>
      </w:r>
      <w:r w:rsidR="00517BBF" w:rsidRPr="005D33CF">
        <w:rPr>
          <w:rFonts w:ascii="Arial" w:hAnsi="Arial" w:hint="cs"/>
          <w:noProof w:val="0"/>
          <w:rtl/>
        </w:rPr>
        <w:t xml:space="preserve">קיימים קריטריונים שנקבעו לצורך מתן אפשרות לקביעת הורות מכוח זיקה לזיקה. בין היתר ייבחן משך הקשר הזוגי, </w:t>
      </w:r>
      <w:r w:rsidR="00603145" w:rsidRPr="005D33CF">
        <w:rPr>
          <w:rFonts w:ascii="Arial" w:hAnsi="Arial" w:hint="cs"/>
          <w:noProof w:val="0"/>
          <w:rtl/>
        </w:rPr>
        <w:t xml:space="preserve">הכוונה לקיום הורות משותפת, </w:t>
      </w:r>
      <w:r w:rsidR="00517BBF" w:rsidRPr="005D33CF">
        <w:rPr>
          <w:rFonts w:ascii="Arial" w:hAnsi="Arial" w:hint="cs"/>
          <w:noProof w:val="0"/>
          <w:rtl/>
        </w:rPr>
        <w:t>גיל בן זוג</w:t>
      </w:r>
      <w:r w:rsidR="007B4598">
        <w:rPr>
          <w:rFonts w:ascii="Arial" w:hAnsi="Arial" w:hint="cs"/>
          <w:noProof w:val="0"/>
          <w:rtl/>
        </w:rPr>
        <w:t>ו</w:t>
      </w:r>
      <w:r w:rsidR="00517BBF" w:rsidRPr="005D33CF">
        <w:rPr>
          <w:rFonts w:ascii="Arial" w:hAnsi="Arial" w:hint="cs"/>
          <w:noProof w:val="0"/>
          <w:rtl/>
        </w:rPr>
        <w:t xml:space="preserve"> של ההורה הגנטי והעדר רישום פלילי. קבלת עמדת המערערים תביא למעשה לביטול הקריטריונים הנ"ל</w:t>
      </w:r>
      <w:r w:rsidR="00603145" w:rsidRPr="005D33CF">
        <w:rPr>
          <w:rFonts w:ascii="Arial" w:hAnsi="Arial" w:hint="cs"/>
          <w:noProof w:val="0"/>
          <w:rtl/>
        </w:rPr>
        <w:t>.</w:t>
      </w:r>
      <w:r w:rsidR="00517BBF" w:rsidRPr="005D33CF">
        <w:rPr>
          <w:rFonts w:ascii="Arial" w:hAnsi="Arial" w:hint="cs"/>
          <w:noProof w:val="0"/>
          <w:rtl/>
        </w:rPr>
        <w:t xml:space="preserve"> שהרי</w:t>
      </w:r>
      <w:r w:rsidR="00603145" w:rsidRPr="005D33CF">
        <w:rPr>
          <w:rFonts w:ascii="Arial" w:hAnsi="Arial" w:hint="cs"/>
          <w:noProof w:val="0"/>
          <w:rtl/>
        </w:rPr>
        <w:t>,</w:t>
      </w:r>
      <w:r w:rsidR="00517BBF" w:rsidRPr="005D33CF">
        <w:rPr>
          <w:rFonts w:ascii="Arial" w:hAnsi="Arial" w:hint="cs"/>
          <w:noProof w:val="0"/>
          <w:rtl/>
        </w:rPr>
        <w:t xml:space="preserve"> מתן צו הורות אוטומטי ומ</w:t>
      </w:r>
      <w:r w:rsidR="00B53B42">
        <w:rPr>
          <w:rFonts w:ascii="Arial" w:hAnsi="Arial" w:hint="cs"/>
          <w:noProof w:val="0"/>
          <w:rtl/>
        </w:rPr>
        <w:t>י</w:t>
      </w:r>
      <w:r w:rsidR="00517BBF" w:rsidRPr="005D33CF">
        <w:rPr>
          <w:rFonts w:ascii="Arial" w:hAnsi="Arial" w:hint="cs"/>
          <w:noProof w:val="0"/>
          <w:rtl/>
        </w:rPr>
        <w:t>די לשני בני הזוג, שעה שלא נבחן כלל האם בן הזוג עמד בקריטריונ</w:t>
      </w:r>
      <w:r w:rsidR="00B53B42">
        <w:rPr>
          <w:rFonts w:ascii="Arial" w:hAnsi="Arial" w:hint="cs"/>
          <w:noProof w:val="0"/>
          <w:rtl/>
        </w:rPr>
        <w:t>ים הנדרשים להורות מכוח זיקה לזיק</w:t>
      </w:r>
      <w:r w:rsidR="00517BBF" w:rsidRPr="005D33CF">
        <w:rPr>
          <w:rFonts w:ascii="Arial" w:hAnsi="Arial" w:hint="cs"/>
          <w:noProof w:val="0"/>
          <w:rtl/>
        </w:rPr>
        <w:t>ה</w:t>
      </w:r>
      <w:r w:rsidR="00603145" w:rsidRPr="005D33CF">
        <w:rPr>
          <w:rFonts w:ascii="Arial" w:hAnsi="Arial" w:hint="cs"/>
          <w:noProof w:val="0"/>
          <w:rtl/>
        </w:rPr>
        <w:t>, תאיין את הבדיקה שיש לבצע לבן זוגו של ההורה הגנטי</w:t>
      </w:r>
      <w:r w:rsidR="00517BBF" w:rsidRPr="005D33CF">
        <w:rPr>
          <w:rFonts w:ascii="Arial" w:hAnsi="Arial" w:hint="cs"/>
          <w:noProof w:val="0"/>
          <w:rtl/>
        </w:rPr>
        <w:t xml:space="preserve">. </w:t>
      </w:r>
    </w:p>
    <w:p w:rsidR="00D51F3D" w:rsidRPr="00517BBF" w:rsidRDefault="00D51F3D" w:rsidP="004F499C">
      <w:pPr>
        <w:pStyle w:val="ad"/>
        <w:spacing w:line="360" w:lineRule="auto"/>
        <w:rPr>
          <w:rFonts w:ascii="Arial" w:hAnsi="Arial"/>
          <w:noProof w:val="0"/>
          <w:rtl/>
        </w:rPr>
      </w:pPr>
    </w:p>
    <w:p w:rsidR="00D51F3D" w:rsidRPr="005D33CF" w:rsidRDefault="005D33CF" w:rsidP="004F499C">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603145" w:rsidRPr="005D33CF">
        <w:rPr>
          <w:rFonts w:ascii="Arial" w:hAnsi="Arial" w:hint="cs"/>
          <w:noProof w:val="0"/>
          <w:rtl/>
        </w:rPr>
        <w:t xml:space="preserve">זאת ועוד: </w:t>
      </w:r>
      <w:r w:rsidR="00D51F3D" w:rsidRPr="005D33CF">
        <w:rPr>
          <w:rFonts w:ascii="Arial" w:hAnsi="Arial" w:hint="cs"/>
          <w:noProof w:val="0"/>
          <w:rtl/>
        </w:rPr>
        <w:t xml:space="preserve">המערערים מבקשים שימנע מהקטינה לדעת כיצד היא באה לעולם ומי ההורה הגנטי שלה. </w:t>
      </w:r>
      <w:r w:rsidR="00603145" w:rsidRPr="005D33CF">
        <w:rPr>
          <w:rFonts w:ascii="Arial" w:hAnsi="Arial" w:hint="cs"/>
          <w:noProof w:val="0"/>
          <w:rtl/>
        </w:rPr>
        <w:t xml:space="preserve">לשיטתם, רק הם יידעו מי הוא ההורה הגנטי ואף בית המשפט לא ייחשף למידע זה. </w:t>
      </w:r>
      <w:r w:rsidR="00D51F3D" w:rsidRPr="005D33CF">
        <w:rPr>
          <w:rFonts w:ascii="Arial" w:hAnsi="Arial" w:hint="cs"/>
          <w:noProof w:val="0"/>
          <w:rtl/>
        </w:rPr>
        <w:t xml:space="preserve">עמדה זו פוגעת בטובתה של הקטינה. כפי שנקבע בע"א 3077/90 </w:t>
      </w:r>
      <w:r w:rsidR="00D51F3D" w:rsidRPr="005D33CF">
        <w:rPr>
          <w:rFonts w:ascii="Arial" w:hAnsi="Arial" w:hint="cs"/>
          <w:b/>
          <w:bCs/>
          <w:noProof w:val="0"/>
          <w:rtl/>
        </w:rPr>
        <w:t>פלונית נ' פלוני</w:t>
      </w:r>
      <w:r w:rsidR="00D51F3D" w:rsidRPr="005D33CF">
        <w:rPr>
          <w:rFonts w:ascii="Arial" w:hAnsi="Arial" w:hint="cs"/>
          <w:noProof w:val="0"/>
          <w:rtl/>
        </w:rPr>
        <w:t xml:space="preserve"> פ"ד מט(2) 578, 594 (1995) מפי כב' השופט חשין:  </w:t>
      </w:r>
    </w:p>
    <w:p w:rsidR="00D51F3D" w:rsidRDefault="00D51F3D" w:rsidP="004F499C">
      <w:pPr>
        <w:spacing w:line="360" w:lineRule="auto"/>
        <w:jc w:val="both"/>
        <w:rPr>
          <w:rFonts w:ascii="Arial" w:hAnsi="Arial"/>
          <w:noProof w:val="0"/>
          <w:rtl/>
        </w:rPr>
      </w:pPr>
    </w:p>
    <w:p w:rsidR="00E75C7A" w:rsidRPr="00603145" w:rsidRDefault="00D51F3D" w:rsidP="00B53B42">
      <w:pPr>
        <w:tabs>
          <w:tab w:val="left" w:pos="288"/>
          <w:tab w:val="left" w:pos="720"/>
        </w:tabs>
        <w:autoSpaceDE w:val="0"/>
        <w:autoSpaceDN w:val="0"/>
        <w:adjustRightInd w:val="0"/>
        <w:spacing w:after="80" w:line="360" w:lineRule="auto"/>
        <w:ind w:left="720"/>
        <w:jc w:val="both"/>
        <w:rPr>
          <w:rFonts w:ascii="David" w:hAnsi="David"/>
          <w:b/>
          <w:bCs/>
          <w:noProof w:val="0"/>
          <w:rtl/>
        </w:rPr>
      </w:pPr>
      <w:r>
        <w:rPr>
          <w:rFonts w:ascii="David" w:hAnsi="David" w:hint="cs"/>
          <w:rtl/>
        </w:rPr>
        <w:t>"</w:t>
      </w:r>
      <w:r w:rsidRPr="00603145">
        <w:rPr>
          <w:rFonts w:ascii="David" w:hAnsi="David"/>
          <w:b/>
          <w:bCs/>
          <w:rtl/>
        </w:rPr>
        <w:t>ואדם כי יבקש לדעת מי אביו, מי אמו, מניין בא - "מי אני", יזעק - כבודו יחייב אותנו</w:t>
      </w:r>
      <w:r w:rsidR="00B53B42">
        <w:rPr>
          <w:rFonts w:ascii="David" w:hAnsi="David"/>
          <w:b/>
          <w:bCs/>
          <w:rtl/>
        </w:rPr>
        <w:t xml:space="preserve">, את כולנו, להושיט יד לעזרו. </w:t>
      </w:r>
      <w:r w:rsidR="00B53B42">
        <w:rPr>
          <w:rFonts w:ascii="David" w:hAnsi="David" w:hint="cs"/>
          <w:b/>
          <w:bCs/>
          <w:rtl/>
        </w:rPr>
        <w:t xml:space="preserve">אכן, </w:t>
      </w:r>
      <w:r w:rsidRPr="00603145">
        <w:rPr>
          <w:rFonts w:ascii="David" w:hAnsi="David"/>
          <w:b/>
          <w:bCs/>
          <w:rtl/>
        </w:rPr>
        <w:t>זכות יסוד כבוד האדם כוללת את "...רצונו של הקטין כילוד אנוש לדעת מוצאו, כדי לשמור על זכויותיו הקנייניות, המשפחתיות והאנושיות..."</w:t>
      </w:r>
      <w:r w:rsidR="00B53B42">
        <w:rPr>
          <w:rFonts w:ascii="David" w:hAnsi="David" w:hint="cs"/>
          <w:b/>
          <w:bCs/>
          <w:rtl/>
        </w:rPr>
        <w:t xml:space="preserve"> </w:t>
      </w:r>
      <w:r w:rsidRPr="00603145">
        <w:rPr>
          <w:rFonts w:ascii="David" w:hAnsi="David" w:hint="cs"/>
          <w:b/>
          <w:bCs/>
          <w:rtl/>
        </w:rPr>
        <w:t>...</w:t>
      </w:r>
      <w:r w:rsidRPr="00603145">
        <w:rPr>
          <w:rFonts w:ascii="David" w:hAnsi="David"/>
          <w:b/>
          <w:bCs/>
          <w:rtl/>
        </w:rPr>
        <w:t xml:space="preserve"> מצווה הוא אדם שיידע מניין בא - דע מאין באת - וציווי זה משמיע מעצמו זכותו של אדם: זכותו שיידע מניין בא. זה כבודו של האדם באשר הוא אדם: עמו נולד, ובאשר יילך יילך אף הוא..</w:t>
      </w:r>
      <w:r w:rsidRPr="00603145">
        <w:rPr>
          <w:rFonts w:ascii="David" w:hAnsi="David" w:hint="cs"/>
          <w:b/>
          <w:bCs/>
          <w:rtl/>
        </w:rPr>
        <w:t>.</w:t>
      </w:r>
      <w:r w:rsidRPr="00603145">
        <w:rPr>
          <w:rFonts w:ascii="David" w:hAnsi="David"/>
          <w:b/>
          <w:bCs/>
          <w:rtl/>
        </w:rPr>
        <w:t xml:space="preserve"> אכן, כבוד האדם באשר הוא - בליבתו - מזכה אדם בהליך המיועד לידעו מי הוא אביו מולידו. נזכור עוד את האמנה הבינלאומית משנת </w:t>
      </w:r>
      <w:r w:rsidRPr="00603145">
        <w:rPr>
          <w:rFonts w:ascii="David" w:hAnsi="David"/>
          <w:b/>
          <w:bCs/>
        </w:rPr>
        <w:t>1989</w:t>
      </w:r>
      <w:r w:rsidRPr="00603145">
        <w:rPr>
          <w:rFonts w:ascii="David" w:hAnsi="David"/>
          <w:b/>
          <w:bCs/>
          <w:rtl/>
        </w:rPr>
        <w:t xml:space="preserve">, אמנה בדבר זכויות הילד, שישראל עשתה עצמה צד לה בשנת </w:t>
      </w:r>
      <w:r w:rsidRPr="00603145">
        <w:rPr>
          <w:rFonts w:ascii="David" w:hAnsi="David"/>
          <w:b/>
          <w:bCs/>
        </w:rPr>
        <w:t>.1991</w:t>
      </w:r>
      <w:r w:rsidRPr="00603145">
        <w:rPr>
          <w:rFonts w:ascii="David" w:hAnsi="David" w:hint="cs"/>
          <w:b/>
          <w:bCs/>
          <w:rtl/>
        </w:rPr>
        <w:t>..</w:t>
      </w:r>
      <w:r w:rsidR="00B53B42">
        <w:rPr>
          <w:rFonts w:ascii="David" w:hAnsi="David" w:hint="cs"/>
          <w:b/>
          <w:bCs/>
          <w:rtl/>
        </w:rPr>
        <w:t xml:space="preserve"> </w:t>
      </w:r>
      <w:r w:rsidRPr="00603145">
        <w:rPr>
          <w:rFonts w:ascii="David" w:hAnsi="David"/>
          <w:b/>
          <w:bCs/>
          <w:rtl/>
        </w:rPr>
        <w:t>משידענו כי כבוד האדם, כזכות חוקתית במשפטנו, מזכה כל אחד מאתנו לדעת מאין בא: מי היא אמו יולדתו ומי הוא אביו מולידו</w:t>
      </w:r>
      <w:r w:rsidRPr="00603145">
        <w:rPr>
          <w:rFonts w:ascii="David" w:hAnsi="David" w:hint="cs"/>
          <w:b/>
          <w:bCs/>
          <w:rtl/>
        </w:rPr>
        <w:t>...</w:t>
      </w:r>
      <w:r w:rsidRPr="00603145">
        <w:rPr>
          <w:rFonts w:ascii="David" w:hAnsi="David"/>
          <w:b/>
          <w:bCs/>
          <w:rtl/>
        </w:rPr>
        <w:t xml:space="preserve">  נוסיף ונדע כי בצדה של זכות זו קמה ומתייצבת חובתה של המדינה להיות לעזר לאדם לבוא אל שלו</w:t>
      </w:r>
      <w:r w:rsidRPr="00B53B42">
        <w:rPr>
          <w:rFonts w:ascii="David" w:hAnsi="David" w:hint="cs"/>
          <w:rtl/>
        </w:rPr>
        <w:t>"</w:t>
      </w:r>
      <w:r w:rsidRPr="00B53B42">
        <w:rPr>
          <w:rFonts w:ascii="David" w:hAnsi="David"/>
          <w:rtl/>
        </w:rPr>
        <w:t>.</w:t>
      </w:r>
      <w:r w:rsidRPr="00603145">
        <w:rPr>
          <w:rFonts w:ascii="David" w:hAnsi="David"/>
          <w:b/>
          <w:bCs/>
          <w:rtl/>
        </w:rPr>
        <w:t xml:space="preserve"> </w:t>
      </w:r>
    </w:p>
    <w:p w:rsidR="00076537" w:rsidRDefault="005D33CF" w:rsidP="004F499C">
      <w:pPr>
        <w:tabs>
          <w:tab w:val="left" w:pos="288"/>
          <w:tab w:val="left" w:pos="720"/>
        </w:tabs>
        <w:autoSpaceDE w:val="0"/>
        <w:autoSpaceDN w:val="0"/>
        <w:adjustRightInd w:val="0"/>
        <w:spacing w:line="360" w:lineRule="auto"/>
        <w:jc w:val="both"/>
        <w:rPr>
          <w:rFonts w:ascii="David" w:hAnsi="David"/>
          <w:noProof w:val="0"/>
          <w:rtl/>
        </w:rPr>
      </w:pPr>
      <w:r>
        <w:rPr>
          <w:rFonts w:ascii="David" w:hAnsi="David"/>
          <w:noProof w:val="0"/>
          <w:rtl/>
        </w:rPr>
        <w:tab/>
      </w:r>
      <w:r>
        <w:rPr>
          <w:rFonts w:ascii="David" w:hAnsi="David"/>
          <w:noProof w:val="0"/>
          <w:rtl/>
        </w:rPr>
        <w:tab/>
      </w:r>
      <w:r w:rsidR="00076537">
        <w:rPr>
          <w:rFonts w:ascii="David" w:hAnsi="David" w:hint="cs"/>
          <w:noProof w:val="0"/>
          <w:rtl/>
        </w:rPr>
        <w:t xml:space="preserve">ראו גם: בג"ץ 10533/04 </w:t>
      </w:r>
      <w:r w:rsidR="00076537" w:rsidRPr="00603145">
        <w:rPr>
          <w:rFonts w:ascii="David" w:hAnsi="David" w:hint="cs"/>
          <w:b/>
          <w:bCs/>
          <w:noProof w:val="0"/>
          <w:rtl/>
        </w:rPr>
        <w:t>איל ויס נ' שר הפנים</w:t>
      </w:r>
      <w:r w:rsidR="00076537">
        <w:rPr>
          <w:rFonts w:ascii="David" w:hAnsi="David" w:hint="cs"/>
          <w:noProof w:val="0"/>
          <w:rtl/>
        </w:rPr>
        <w:t>, פ"ד סד(3) 807 (2011).</w:t>
      </w:r>
    </w:p>
    <w:p w:rsidR="005D33CF" w:rsidRDefault="005D33CF" w:rsidP="004F499C">
      <w:pPr>
        <w:tabs>
          <w:tab w:val="left" w:pos="288"/>
          <w:tab w:val="left" w:pos="720"/>
        </w:tabs>
        <w:autoSpaceDE w:val="0"/>
        <w:autoSpaceDN w:val="0"/>
        <w:adjustRightInd w:val="0"/>
        <w:spacing w:line="360" w:lineRule="auto"/>
        <w:jc w:val="both"/>
        <w:rPr>
          <w:rFonts w:ascii="David" w:hAnsi="David"/>
          <w:noProof w:val="0"/>
          <w:rtl/>
        </w:rPr>
      </w:pPr>
    </w:p>
    <w:p w:rsidR="00D51F3D" w:rsidRPr="005D33CF" w:rsidRDefault="005D33CF" w:rsidP="004F499C">
      <w:pPr>
        <w:tabs>
          <w:tab w:val="left" w:pos="288"/>
          <w:tab w:val="left" w:pos="720"/>
        </w:tabs>
        <w:autoSpaceDE w:val="0"/>
        <w:autoSpaceDN w:val="0"/>
        <w:adjustRightInd w:val="0"/>
        <w:spacing w:line="360" w:lineRule="auto"/>
        <w:ind w:left="720" w:hanging="720"/>
        <w:jc w:val="both"/>
        <w:rPr>
          <w:rFonts w:ascii="David" w:hAnsi="David"/>
          <w:noProof w:val="0"/>
        </w:rPr>
      </w:pPr>
      <w:r>
        <w:rPr>
          <w:rFonts w:ascii="David" w:hAnsi="David" w:hint="cs"/>
          <w:noProof w:val="0"/>
          <w:rtl/>
        </w:rPr>
        <w:t>10.</w:t>
      </w:r>
      <w:r>
        <w:rPr>
          <w:rFonts w:ascii="David" w:hAnsi="David" w:hint="cs"/>
          <w:noProof w:val="0"/>
          <w:rtl/>
        </w:rPr>
        <w:tab/>
      </w:r>
      <w:r>
        <w:rPr>
          <w:rFonts w:ascii="David" w:hAnsi="David"/>
          <w:noProof w:val="0"/>
          <w:rtl/>
        </w:rPr>
        <w:tab/>
      </w:r>
      <w:r w:rsidR="00D51F3D" w:rsidRPr="005D33CF">
        <w:rPr>
          <w:rFonts w:ascii="David" w:hAnsi="David" w:hint="cs"/>
          <w:noProof w:val="0"/>
          <w:rtl/>
        </w:rPr>
        <w:t>אכן, זכותם של ההורים להחליט מתי ואיך להודיע לקטינה, אם בכלל, אודות זהות ההורה הגנטי שלה. אף אחד לא מתערב בשיקול דעתם וזכותם</w:t>
      </w:r>
      <w:r w:rsidR="00603145" w:rsidRPr="005D33CF">
        <w:rPr>
          <w:rFonts w:ascii="David" w:hAnsi="David" w:hint="cs"/>
          <w:noProof w:val="0"/>
          <w:rtl/>
        </w:rPr>
        <w:t>,</w:t>
      </w:r>
      <w:r w:rsidR="00D51F3D" w:rsidRPr="005D33CF">
        <w:rPr>
          <w:rFonts w:ascii="David" w:hAnsi="David" w:hint="cs"/>
          <w:noProof w:val="0"/>
          <w:rtl/>
        </w:rPr>
        <w:t xml:space="preserve"> כחלק מהאוטונומיה ההורית שלהם, לקבוע אם וכיצד העובדות יימסרו לקטינה. ברם, זכות זו לא צריכה לפגוע בהליך המשפטי שמתקיים לצורך קביעת ההורות. בהליך המשפטי יש לקבוע עובדתית מי ההורה הגנטי ומי ההורה מכוח זיקה לזיקה. לא ניתן לתת צו הורות ערטילאי. יש לבחון ראשית מי בעל הזיקה הגנטית ואז לבחון האם בן זוגו עונה לקריטריונים שנקבעו בפסיקה ואשר מאפשרים לבן הזוג לקבל מעמד של הורה מכוח זיקה לזיקה.</w:t>
      </w:r>
    </w:p>
    <w:p w:rsidR="00517BBF" w:rsidRPr="00517BBF" w:rsidRDefault="00517BBF" w:rsidP="00517BBF">
      <w:pPr>
        <w:tabs>
          <w:tab w:val="left" w:pos="288"/>
          <w:tab w:val="left" w:pos="720"/>
        </w:tabs>
        <w:autoSpaceDE w:val="0"/>
        <w:autoSpaceDN w:val="0"/>
        <w:adjustRightInd w:val="0"/>
        <w:spacing w:after="80" w:line="360" w:lineRule="auto"/>
        <w:jc w:val="both"/>
        <w:rPr>
          <w:rFonts w:ascii="David" w:hAnsi="David"/>
          <w:noProof w:val="0"/>
        </w:rPr>
      </w:pPr>
    </w:p>
    <w:p w:rsidR="00D51F3D" w:rsidRPr="005D33CF" w:rsidRDefault="005D33CF" w:rsidP="004F499C">
      <w:pPr>
        <w:tabs>
          <w:tab w:val="left" w:pos="288"/>
          <w:tab w:val="left" w:pos="720"/>
        </w:tabs>
        <w:autoSpaceDE w:val="0"/>
        <w:autoSpaceDN w:val="0"/>
        <w:adjustRightInd w:val="0"/>
        <w:spacing w:line="360" w:lineRule="auto"/>
        <w:ind w:left="720" w:hanging="720"/>
        <w:jc w:val="both"/>
        <w:rPr>
          <w:rFonts w:ascii="David" w:hAnsi="David"/>
          <w:noProof w:val="0"/>
        </w:rPr>
      </w:pPr>
      <w:r>
        <w:rPr>
          <w:rFonts w:ascii="David" w:hAnsi="David" w:hint="cs"/>
          <w:noProof w:val="0"/>
          <w:rtl/>
        </w:rPr>
        <w:t>11.</w:t>
      </w:r>
      <w:r>
        <w:rPr>
          <w:rFonts w:ascii="David" w:hAnsi="David" w:hint="cs"/>
          <w:noProof w:val="0"/>
          <w:rtl/>
        </w:rPr>
        <w:tab/>
      </w:r>
      <w:r>
        <w:rPr>
          <w:rFonts w:ascii="David" w:hAnsi="David"/>
          <w:noProof w:val="0"/>
          <w:rtl/>
        </w:rPr>
        <w:tab/>
      </w:r>
      <w:r w:rsidR="00517BBF" w:rsidRPr="005D33CF">
        <w:rPr>
          <w:rFonts w:ascii="David" w:hAnsi="David" w:hint="cs"/>
          <w:noProof w:val="0"/>
          <w:rtl/>
        </w:rPr>
        <w:t xml:space="preserve">העובדה </w:t>
      </w:r>
      <w:r w:rsidR="00603145" w:rsidRPr="005D33CF">
        <w:rPr>
          <w:rFonts w:ascii="David" w:hAnsi="David" w:hint="cs"/>
          <w:noProof w:val="0"/>
          <w:rtl/>
        </w:rPr>
        <w:t>ש</w:t>
      </w:r>
      <w:r w:rsidR="00517BBF" w:rsidRPr="005D33CF">
        <w:rPr>
          <w:rFonts w:ascii="David" w:hAnsi="David" w:hint="cs"/>
          <w:noProof w:val="0"/>
          <w:rtl/>
        </w:rPr>
        <w:t>המערערים נאלצו להגיש עתירה מנהלית בכל הנוגע לרישום שם המשפחה הכפול של הקטין, אינה רלוונטית כלל לשאלת אופן קביעת ה</w:t>
      </w:r>
      <w:r w:rsidR="00076537" w:rsidRPr="005D33CF">
        <w:rPr>
          <w:rFonts w:ascii="David" w:hAnsi="David" w:hint="cs"/>
          <w:noProof w:val="0"/>
          <w:rtl/>
        </w:rPr>
        <w:t>הורות</w:t>
      </w:r>
      <w:r w:rsidR="00517BBF" w:rsidRPr="005D33CF">
        <w:rPr>
          <w:rFonts w:ascii="David" w:hAnsi="David" w:hint="cs"/>
          <w:noProof w:val="0"/>
          <w:rtl/>
        </w:rPr>
        <w:t>.</w:t>
      </w:r>
      <w:r w:rsidR="00076537" w:rsidRPr="005D33CF">
        <w:rPr>
          <w:rFonts w:ascii="David" w:hAnsi="David" w:hint="cs"/>
          <w:noProof w:val="0"/>
          <w:rtl/>
        </w:rPr>
        <w:t xml:space="preserve"> נושא רישום השמות מוסדר </w:t>
      </w:r>
      <w:r w:rsidR="00076537" w:rsidRPr="005D33CF">
        <w:rPr>
          <w:rFonts w:ascii="David" w:hAnsi="David" w:hint="cs"/>
          <w:b/>
          <w:bCs/>
          <w:noProof w:val="0"/>
          <w:rtl/>
        </w:rPr>
        <w:t xml:space="preserve">בחוק השמות </w:t>
      </w:r>
      <w:r w:rsidR="00076537" w:rsidRPr="005D33CF">
        <w:rPr>
          <w:rFonts w:ascii="David" w:hAnsi="David" w:hint="cs"/>
          <w:noProof w:val="0"/>
          <w:rtl/>
        </w:rPr>
        <w:t xml:space="preserve">תשט"ז </w:t>
      </w:r>
      <w:r w:rsidR="00076537" w:rsidRPr="005D33CF">
        <w:rPr>
          <w:rFonts w:ascii="David" w:hAnsi="David"/>
          <w:noProof w:val="0"/>
          <w:rtl/>
        </w:rPr>
        <w:t>–</w:t>
      </w:r>
      <w:r w:rsidR="00076537" w:rsidRPr="005D33CF">
        <w:rPr>
          <w:rFonts w:ascii="David" w:hAnsi="David" w:hint="cs"/>
          <w:noProof w:val="0"/>
          <w:rtl/>
        </w:rPr>
        <w:t xml:space="preserve"> 1965 ואופן קביעת האבהות מוסדר בדין ובפסיקה</w:t>
      </w:r>
      <w:r w:rsidR="00603145" w:rsidRPr="005D33CF">
        <w:rPr>
          <w:rFonts w:ascii="David" w:hAnsi="David" w:hint="cs"/>
          <w:noProof w:val="0"/>
          <w:rtl/>
        </w:rPr>
        <w:t>.</w:t>
      </w:r>
      <w:r w:rsidR="00DC24F3">
        <w:rPr>
          <w:rFonts w:ascii="David" w:hAnsi="David" w:hint="cs"/>
          <w:noProof w:val="0"/>
          <w:rtl/>
        </w:rPr>
        <w:t xml:space="preserve"> קושי</w:t>
      </w:r>
      <w:r w:rsidR="00076537" w:rsidRPr="005D33CF">
        <w:rPr>
          <w:rFonts w:ascii="David" w:hAnsi="David" w:hint="cs"/>
          <w:noProof w:val="0"/>
          <w:rtl/>
        </w:rPr>
        <w:t xml:space="preserve"> שהתעורר</w:t>
      </w:r>
      <w:r w:rsidR="00DC24F3">
        <w:rPr>
          <w:rFonts w:ascii="David" w:hAnsi="David" w:hint="cs"/>
          <w:noProof w:val="0"/>
          <w:rtl/>
        </w:rPr>
        <w:t xml:space="preserve"> ברישום שם המשפחה לא צריך לגרוע</w:t>
      </w:r>
      <w:r w:rsidR="00076537" w:rsidRPr="005D33CF">
        <w:rPr>
          <w:rFonts w:ascii="David" w:hAnsi="David" w:hint="cs"/>
          <w:noProof w:val="0"/>
          <w:rtl/>
        </w:rPr>
        <w:t xml:space="preserve"> מההליך שנקבע בפסיקה בנושא קביעת ההורות.  </w:t>
      </w:r>
      <w:r w:rsidR="00D51F3D" w:rsidRPr="005D33CF">
        <w:rPr>
          <w:rFonts w:ascii="David" w:hAnsi="David" w:hint="cs"/>
          <w:noProof w:val="0"/>
          <w:rtl/>
        </w:rPr>
        <w:t xml:space="preserve"> </w:t>
      </w:r>
    </w:p>
    <w:p w:rsidR="00D12079" w:rsidRPr="00D12079" w:rsidRDefault="00D12079" w:rsidP="004F499C">
      <w:pPr>
        <w:pStyle w:val="ad"/>
        <w:spacing w:line="360" w:lineRule="auto"/>
        <w:rPr>
          <w:rFonts w:ascii="David" w:hAnsi="David"/>
          <w:noProof w:val="0"/>
          <w:rtl/>
        </w:rPr>
      </w:pPr>
    </w:p>
    <w:p w:rsidR="00076537" w:rsidRPr="005D33CF" w:rsidRDefault="005D33CF" w:rsidP="007B4598">
      <w:pPr>
        <w:spacing w:line="360" w:lineRule="auto"/>
        <w:ind w:left="720" w:hanging="720"/>
        <w:jc w:val="both"/>
        <w:rPr>
          <w:rFonts w:ascii="David" w:hAnsi="David"/>
          <w:noProof w:val="0"/>
        </w:rPr>
      </w:pPr>
      <w:r>
        <w:rPr>
          <w:rFonts w:ascii="David" w:hAnsi="David" w:hint="cs"/>
          <w:noProof w:val="0"/>
          <w:rtl/>
        </w:rPr>
        <w:t>12.</w:t>
      </w:r>
      <w:r>
        <w:rPr>
          <w:rFonts w:ascii="David" w:hAnsi="David" w:hint="cs"/>
          <w:noProof w:val="0"/>
          <w:rtl/>
        </w:rPr>
        <w:tab/>
      </w:r>
      <w:r w:rsidR="00076537" w:rsidRPr="005D33CF">
        <w:rPr>
          <w:rFonts w:ascii="David" w:hAnsi="David" w:hint="cs"/>
          <w:noProof w:val="0"/>
          <w:rtl/>
        </w:rPr>
        <w:t>חשיבות בירור זהותו של האב הגנטי נחוצה אף למקרה שבו ח"ו תתעורר בעיה רפואית לקטינה שבמסגרתה יהיה צורך לברר נושא זה. לכן, יש לבצע בדיקה להורה הגנטי שתוצאותיה יהיו בתיק ביהמ"ש. ההליך ממילא מתקיים בדלתיים סגורות ואף אחד מהציבור, כולל בני משפחת המערערים</w:t>
      </w:r>
      <w:r w:rsidR="00603145" w:rsidRPr="005D33CF">
        <w:rPr>
          <w:rFonts w:ascii="David" w:hAnsi="David" w:hint="cs"/>
          <w:noProof w:val="0"/>
          <w:rtl/>
        </w:rPr>
        <w:t>,</w:t>
      </w:r>
      <w:r w:rsidR="00076537" w:rsidRPr="005D33CF">
        <w:rPr>
          <w:rFonts w:ascii="David" w:hAnsi="David" w:hint="cs"/>
          <w:noProof w:val="0"/>
          <w:rtl/>
        </w:rPr>
        <w:t xml:space="preserve"> לא </w:t>
      </w:r>
      <w:r w:rsidR="007B4598">
        <w:rPr>
          <w:rFonts w:ascii="David" w:hAnsi="David" w:hint="cs"/>
          <w:noProof w:val="0"/>
          <w:rtl/>
        </w:rPr>
        <w:t>י</w:t>
      </w:r>
      <w:r w:rsidR="00076537" w:rsidRPr="005D33CF">
        <w:rPr>
          <w:rFonts w:ascii="David" w:hAnsi="David" w:hint="cs"/>
          <w:noProof w:val="0"/>
          <w:rtl/>
        </w:rPr>
        <w:t>ידע מה היו תוצאות הבדיקה ומי הוא ההורה הגנטי</w:t>
      </w:r>
      <w:r w:rsidR="001F2B11">
        <w:rPr>
          <w:rFonts w:ascii="David" w:hAnsi="David" w:hint="cs"/>
          <w:noProof w:val="0"/>
          <w:rtl/>
        </w:rPr>
        <w:t xml:space="preserve"> ולכן הזכות לפרטיות של המערערים כמעט שלא נפגעת</w:t>
      </w:r>
      <w:r w:rsidR="00076537" w:rsidRPr="005D33CF">
        <w:rPr>
          <w:rFonts w:ascii="David" w:hAnsi="David" w:hint="cs"/>
          <w:noProof w:val="0"/>
          <w:rtl/>
        </w:rPr>
        <w:t xml:space="preserve">. במרשם עצמו, אין כל הבדל בין הורה גנטי להורה שהורותו נקבעה על יסוד זיקה לזיקה ושניהם נרשמים כהורי הקטין באופן שווה. שהרי: </w:t>
      </w:r>
      <w:r w:rsidR="00076537">
        <w:rPr>
          <w:rFonts w:hint="cs"/>
          <w:rtl/>
        </w:rPr>
        <w:t>"</w:t>
      </w:r>
      <w:r w:rsidR="00076537" w:rsidRPr="005D33CF">
        <w:rPr>
          <w:b/>
          <w:bCs/>
          <w:rtl/>
        </w:rPr>
        <w:t>הלכה היא כי במרשם האוכלוסין נרשמת הורות "כללית", ללא הבחנה בין הורה "ביולוגי" להורה "משפט</w:t>
      </w:r>
      <w:r w:rsidR="00076537" w:rsidRPr="00084D23">
        <w:rPr>
          <w:b/>
          <w:bCs/>
          <w:rtl/>
        </w:rPr>
        <w:t>י</w:t>
      </w:r>
      <w:r w:rsidR="00076537">
        <w:rPr>
          <w:rtl/>
        </w:rPr>
        <w:t>"</w:t>
      </w:r>
      <w:r w:rsidR="00076537">
        <w:rPr>
          <w:rFonts w:hint="cs"/>
          <w:rtl/>
        </w:rPr>
        <w:t xml:space="preserve"> (</w:t>
      </w:r>
      <w:r w:rsidR="00076537" w:rsidRPr="005D33CF">
        <w:rPr>
          <w:rFonts w:ascii="David" w:hAnsi="David" w:hint="cs"/>
          <w:noProof w:val="0"/>
          <w:rtl/>
        </w:rPr>
        <w:t xml:space="preserve">בג"ץ 2984/17 </w:t>
      </w:r>
      <w:r w:rsidR="00076537" w:rsidRPr="005D33CF">
        <w:rPr>
          <w:rFonts w:ascii="David" w:hAnsi="David" w:hint="cs"/>
          <w:b/>
          <w:bCs/>
          <w:noProof w:val="0"/>
          <w:rtl/>
        </w:rPr>
        <w:t>מלכי נ' מנהל האוכלוסין</w:t>
      </w:r>
      <w:r w:rsidR="00076537" w:rsidRPr="005D33CF">
        <w:rPr>
          <w:rFonts w:ascii="David" w:hAnsi="David" w:hint="cs"/>
          <w:noProof w:val="0"/>
          <w:rtl/>
        </w:rPr>
        <w:t xml:space="preserve"> (1.5.22)</w:t>
      </w:r>
      <w:r w:rsidR="001F2B11">
        <w:rPr>
          <w:rFonts w:ascii="David" w:hAnsi="David" w:hint="cs"/>
          <w:noProof w:val="0"/>
          <w:rtl/>
        </w:rPr>
        <w:t>)</w:t>
      </w:r>
      <w:r w:rsidR="00076537" w:rsidRPr="005D33CF">
        <w:rPr>
          <w:rFonts w:ascii="David" w:hAnsi="David" w:hint="cs"/>
          <w:noProof w:val="0"/>
          <w:rtl/>
        </w:rPr>
        <w:t>.</w:t>
      </w:r>
    </w:p>
    <w:p w:rsidR="00076537" w:rsidRPr="00DC24F3" w:rsidRDefault="00076537" w:rsidP="004F499C">
      <w:pPr>
        <w:spacing w:line="360" w:lineRule="auto"/>
        <w:rPr>
          <w:rFonts w:ascii="David" w:hAnsi="David"/>
          <w:noProof w:val="0"/>
          <w:rtl/>
        </w:rPr>
      </w:pPr>
    </w:p>
    <w:p w:rsidR="00D12079" w:rsidRDefault="005D33CF" w:rsidP="00543EA2">
      <w:pPr>
        <w:tabs>
          <w:tab w:val="left" w:pos="288"/>
          <w:tab w:val="left" w:pos="720"/>
        </w:tabs>
        <w:autoSpaceDE w:val="0"/>
        <w:autoSpaceDN w:val="0"/>
        <w:adjustRightInd w:val="0"/>
        <w:spacing w:line="360" w:lineRule="auto"/>
        <w:ind w:left="720" w:hanging="720"/>
        <w:jc w:val="both"/>
        <w:rPr>
          <w:rFonts w:ascii="David" w:hAnsi="David"/>
          <w:noProof w:val="0"/>
          <w:rtl/>
        </w:rPr>
      </w:pPr>
      <w:r>
        <w:rPr>
          <w:rFonts w:ascii="David" w:hAnsi="David" w:hint="cs"/>
          <w:noProof w:val="0"/>
          <w:rtl/>
        </w:rPr>
        <w:t>13.</w:t>
      </w:r>
      <w:r>
        <w:rPr>
          <w:rFonts w:ascii="David" w:hAnsi="David" w:hint="cs"/>
          <w:noProof w:val="0"/>
          <w:rtl/>
        </w:rPr>
        <w:tab/>
      </w:r>
      <w:r>
        <w:rPr>
          <w:rFonts w:ascii="David" w:hAnsi="David"/>
          <w:noProof w:val="0"/>
          <w:rtl/>
        </w:rPr>
        <w:tab/>
      </w:r>
      <w:r w:rsidR="00076537" w:rsidRPr="005D33CF">
        <w:rPr>
          <w:rFonts w:ascii="David" w:hAnsi="David" w:hint="cs"/>
          <w:noProof w:val="0"/>
          <w:rtl/>
        </w:rPr>
        <w:t>מעמדה של הקטינה בישראל ייקבע לאחר שיוכח שהיא בת גנטית של אזרח ישראלי מסוים. הימשכות ההליכים בעניינה של הקטינה גור</w:t>
      </w:r>
      <w:r w:rsidR="00A67855">
        <w:rPr>
          <w:rFonts w:ascii="David" w:hAnsi="David" w:hint="cs"/>
          <w:noProof w:val="0"/>
          <w:rtl/>
        </w:rPr>
        <w:t>מת</w:t>
      </w:r>
      <w:r w:rsidR="00076537" w:rsidRPr="005D33CF">
        <w:rPr>
          <w:rFonts w:ascii="David" w:hAnsi="David" w:hint="cs"/>
          <w:noProof w:val="0"/>
          <w:rtl/>
        </w:rPr>
        <w:t xml:space="preserve"> לה נזק</w:t>
      </w:r>
      <w:r w:rsidR="00603145" w:rsidRPr="005D33CF">
        <w:rPr>
          <w:rFonts w:ascii="David" w:hAnsi="David" w:hint="cs"/>
          <w:noProof w:val="0"/>
          <w:rtl/>
        </w:rPr>
        <w:t>,</w:t>
      </w:r>
      <w:r w:rsidR="00076537" w:rsidRPr="005D33CF">
        <w:rPr>
          <w:rFonts w:ascii="David" w:hAnsi="David" w:hint="cs"/>
          <w:noProof w:val="0"/>
          <w:rtl/>
        </w:rPr>
        <w:t xml:space="preserve"> היות </w:t>
      </w:r>
      <w:r w:rsidR="00603145" w:rsidRPr="005D33CF">
        <w:rPr>
          <w:rFonts w:ascii="David" w:hAnsi="David" w:hint="cs"/>
          <w:noProof w:val="0"/>
          <w:rtl/>
        </w:rPr>
        <w:t>ש</w:t>
      </w:r>
      <w:r w:rsidR="00076537" w:rsidRPr="005D33CF">
        <w:rPr>
          <w:rFonts w:ascii="David" w:hAnsi="David" w:hint="cs"/>
          <w:noProof w:val="0"/>
          <w:rtl/>
        </w:rPr>
        <w:t xml:space="preserve">כיום היא חסרת מעמד </w:t>
      </w:r>
      <w:r w:rsidR="00603145" w:rsidRPr="005D33CF">
        <w:rPr>
          <w:rFonts w:ascii="David" w:hAnsi="David" w:hint="cs"/>
          <w:noProof w:val="0"/>
          <w:rtl/>
        </w:rPr>
        <w:t xml:space="preserve">בישראל </w:t>
      </w:r>
      <w:r w:rsidR="00DC24F3">
        <w:rPr>
          <w:rFonts w:ascii="David" w:hAnsi="David" w:hint="cs"/>
          <w:noProof w:val="0"/>
          <w:rtl/>
        </w:rPr>
        <w:t>על כל ה</w:t>
      </w:r>
      <w:r w:rsidR="00076537" w:rsidRPr="005D33CF">
        <w:rPr>
          <w:rFonts w:ascii="David" w:hAnsi="David" w:hint="cs"/>
          <w:noProof w:val="0"/>
          <w:rtl/>
        </w:rPr>
        <w:t xml:space="preserve">משתמע מכך. </w:t>
      </w:r>
      <w:r w:rsidR="00603145" w:rsidRPr="005D33CF">
        <w:rPr>
          <w:rFonts w:ascii="David" w:hAnsi="David" w:hint="cs"/>
          <w:noProof w:val="0"/>
          <w:rtl/>
        </w:rPr>
        <w:t xml:space="preserve">מן הראוי שהמערערים ישקלו בכובד </w:t>
      </w:r>
      <w:r w:rsidR="007B4598">
        <w:rPr>
          <w:rFonts w:ascii="David" w:hAnsi="David" w:hint="cs"/>
          <w:noProof w:val="0"/>
          <w:rtl/>
        </w:rPr>
        <w:t>ר</w:t>
      </w:r>
      <w:r w:rsidR="00603145" w:rsidRPr="005D33CF">
        <w:rPr>
          <w:rFonts w:ascii="David" w:hAnsi="David" w:hint="cs"/>
          <w:noProof w:val="0"/>
          <w:rtl/>
        </w:rPr>
        <w:t xml:space="preserve">אש </w:t>
      </w:r>
      <w:r w:rsidR="001F2B11">
        <w:rPr>
          <w:rFonts w:ascii="David" w:hAnsi="David" w:hint="cs"/>
          <w:noProof w:val="0"/>
          <w:rtl/>
        </w:rPr>
        <w:t xml:space="preserve">תוצאה זו, </w:t>
      </w:r>
      <w:r w:rsidR="00603145" w:rsidRPr="005D33CF">
        <w:rPr>
          <w:rFonts w:ascii="David" w:hAnsi="David" w:hint="cs"/>
          <w:noProof w:val="0"/>
          <w:rtl/>
        </w:rPr>
        <w:t>הנגזר</w:t>
      </w:r>
      <w:r w:rsidR="001F2B11">
        <w:rPr>
          <w:rFonts w:ascii="David" w:hAnsi="David" w:hint="cs"/>
          <w:noProof w:val="0"/>
          <w:rtl/>
        </w:rPr>
        <w:t>ת</w:t>
      </w:r>
      <w:r w:rsidR="00603145" w:rsidRPr="005D33CF">
        <w:rPr>
          <w:rFonts w:ascii="David" w:hAnsi="David" w:hint="cs"/>
          <w:noProof w:val="0"/>
          <w:rtl/>
        </w:rPr>
        <w:t xml:space="preserve"> מהמשך מאבקם המשפטי.  </w:t>
      </w:r>
      <w:r w:rsidR="00076537" w:rsidRPr="005D33CF">
        <w:rPr>
          <w:rFonts w:ascii="David" w:hAnsi="David" w:hint="cs"/>
          <w:noProof w:val="0"/>
          <w:rtl/>
        </w:rPr>
        <w:t xml:space="preserve">   </w:t>
      </w:r>
    </w:p>
    <w:p w:rsidR="00543EA2" w:rsidRPr="001F2B11" w:rsidRDefault="00543EA2" w:rsidP="00543EA2">
      <w:pPr>
        <w:tabs>
          <w:tab w:val="left" w:pos="288"/>
          <w:tab w:val="left" w:pos="720"/>
        </w:tabs>
        <w:autoSpaceDE w:val="0"/>
        <w:autoSpaceDN w:val="0"/>
        <w:adjustRightInd w:val="0"/>
        <w:spacing w:line="360" w:lineRule="auto"/>
        <w:ind w:left="720" w:hanging="720"/>
        <w:jc w:val="both"/>
        <w:rPr>
          <w:rFonts w:ascii="David" w:hAnsi="David"/>
          <w:noProof w:val="0"/>
        </w:rPr>
      </w:pPr>
    </w:p>
    <w:p w:rsidR="00076537" w:rsidRDefault="005D33CF" w:rsidP="00543EA2">
      <w:pPr>
        <w:tabs>
          <w:tab w:val="left" w:pos="288"/>
          <w:tab w:val="left" w:pos="720"/>
        </w:tabs>
        <w:autoSpaceDE w:val="0"/>
        <w:autoSpaceDN w:val="0"/>
        <w:adjustRightInd w:val="0"/>
        <w:spacing w:line="360" w:lineRule="auto"/>
        <w:ind w:left="720" w:hanging="720"/>
        <w:jc w:val="both"/>
        <w:rPr>
          <w:rFonts w:ascii="David" w:hAnsi="David"/>
          <w:noProof w:val="0"/>
          <w:rtl/>
        </w:rPr>
      </w:pPr>
      <w:r>
        <w:rPr>
          <w:rFonts w:ascii="David" w:hAnsi="David" w:hint="cs"/>
          <w:noProof w:val="0"/>
          <w:rtl/>
        </w:rPr>
        <w:t>14.</w:t>
      </w:r>
      <w:r>
        <w:rPr>
          <w:rFonts w:ascii="David" w:hAnsi="David" w:hint="cs"/>
          <w:noProof w:val="0"/>
          <w:rtl/>
        </w:rPr>
        <w:tab/>
      </w:r>
      <w:r>
        <w:rPr>
          <w:rFonts w:ascii="David" w:hAnsi="David"/>
          <w:noProof w:val="0"/>
          <w:rtl/>
        </w:rPr>
        <w:tab/>
      </w:r>
      <w:r w:rsidR="00D12079" w:rsidRPr="005D33CF">
        <w:rPr>
          <w:rFonts w:ascii="David" w:hAnsi="David" w:hint="cs"/>
          <w:noProof w:val="0"/>
          <w:rtl/>
        </w:rPr>
        <w:t xml:space="preserve">להשלמת התמונה יצוין </w:t>
      </w:r>
      <w:r w:rsidR="00603145" w:rsidRPr="005D33CF">
        <w:rPr>
          <w:rFonts w:ascii="David" w:hAnsi="David" w:hint="cs"/>
          <w:noProof w:val="0"/>
          <w:rtl/>
        </w:rPr>
        <w:t>ש</w:t>
      </w:r>
      <w:r w:rsidR="00D12079" w:rsidRPr="005D33CF">
        <w:rPr>
          <w:rFonts w:ascii="David" w:hAnsi="David" w:hint="cs"/>
          <w:noProof w:val="0"/>
          <w:rtl/>
        </w:rPr>
        <w:t>היה על המערערים להודיע לבית המשפט קמא לאחר מתן ההחלטה</w:t>
      </w:r>
      <w:r w:rsidR="00603145" w:rsidRPr="005D33CF">
        <w:rPr>
          <w:rFonts w:ascii="David" w:hAnsi="David" w:hint="cs"/>
          <w:noProof w:val="0"/>
          <w:rtl/>
        </w:rPr>
        <w:t>,</w:t>
      </w:r>
      <w:r w:rsidR="00D12079" w:rsidRPr="005D33CF">
        <w:rPr>
          <w:rFonts w:ascii="David" w:hAnsi="David" w:hint="cs"/>
          <w:noProof w:val="0"/>
          <w:rtl/>
        </w:rPr>
        <w:t xml:space="preserve"> שהם הגישו </w:t>
      </w:r>
      <w:r w:rsidR="001F2B11">
        <w:rPr>
          <w:rFonts w:ascii="David" w:hAnsi="David" w:hint="cs"/>
          <w:noProof w:val="0"/>
          <w:rtl/>
        </w:rPr>
        <w:t xml:space="preserve">עליה </w:t>
      </w:r>
      <w:r w:rsidR="00D12079" w:rsidRPr="005D33CF">
        <w:rPr>
          <w:rFonts w:ascii="David" w:hAnsi="David" w:hint="cs"/>
          <w:noProof w:val="0"/>
          <w:rtl/>
        </w:rPr>
        <w:t>בקשת רשות ערעור ו</w:t>
      </w:r>
      <w:r w:rsidR="00DC24F3">
        <w:rPr>
          <w:rFonts w:ascii="David" w:hAnsi="David" w:hint="cs"/>
          <w:noProof w:val="0"/>
          <w:rtl/>
        </w:rPr>
        <w:t>לפיכך הם מבקשים להאריך את המועד</w:t>
      </w:r>
      <w:r w:rsidR="00D12079" w:rsidRPr="005D33CF">
        <w:rPr>
          <w:rFonts w:ascii="David" w:hAnsi="David" w:hint="cs"/>
          <w:noProof w:val="0"/>
          <w:rtl/>
        </w:rPr>
        <w:t xml:space="preserve"> להגשת הפסיקת</w:t>
      </w:r>
      <w:r w:rsidR="00603145" w:rsidRPr="005D33CF">
        <w:rPr>
          <w:rFonts w:ascii="David" w:hAnsi="David" w:hint="cs"/>
          <w:noProof w:val="0"/>
          <w:rtl/>
        </w:rPr>
        <w:t>ה</w:t>
      </w:r>
      <w:r w:rsidR="00D12079" w:rsidRPr="005D33CF">
        <w:rPr>
          <w:rFonts w:ascii="David" w:hAnsi="David" w:hint="cs"/>
          <w:noProof w:val="0"/>
          <w:rtl/>
        </w:rPr>
        <w:t xml:space="preserve"> עד להכרעה בבקשתם</w:t>
      </w:r>
      <w:r w:rsidR="007B4598">
        <w:rPr>
          <w:rFonts w:ascii="David" w:hAnsi="David" w:hint="cs"/>
          <w:noProof w:val="0"/>
          <w:rtl/>
        </w:rPr>
        <w:t>,</w:t>
      </w:r>
      <w:r w:rsidR="00D12079" w:rsidRPr="005D33CF">
        <w:rPr>
          <w:rFonts w:ascii="David" w:hAnsi="David" w:hint="cs"/>
          <w:noProof w:val="0"/>
          <w:rtl/>
        </w:rPr>
        <w:t xml:space="preserve"> בטרם שההליך יימחק. משה</w:t>
      </w:r>
      <w:r w:rsidR="00DC24F3">
        <w:rPr>
          <w:rFonts w:ascii="David" w:hAnsi="David" w:hint="cs"/>
          <w:noProof w:val="0"/>
          <w:rtl/>
        </w:rPr>
        <w:t>ם לא עשו כן, אין כל פגם בכך שבית</w:t>
      </w:r>
      <w:r w:rsidR="00D12079" w:rsidRPr="005D33CF">
        <w:rPr>
          <w:rFonts w:ascii="David" w:hAnsi="David" w:hint="cs"/>
          <w:noProof w:val="0"/>
          <w:rtl/>
        </w:rPr>
        <w:t xml:space="preserve"> המשפט קמא מחק את ההליך מחוסר מעש</w:t>
      </w:r>
      <w:r w:rsidR="00603145" w:rsidRPr="005D33CF">
        <w:rPr>
          <w:rFonts w:ascii="David" w:hAnsi="David" w:hint="cs"/>
          <w:noProof w:val="0"/>
          <w:rtl/>
        </w:rPr>
        <w:t>,</w:t>
      </w:r>
      <w:r w:rsidR="00D12079" w:rsidRPr="005D33CF">
        <w:rPr>
          <w:rFonts w:ascii="David" w:hAnsi="David" w:hint="cs"/>
          <w:noProof w:val="0"/>
          <w:rtl/>
        </w:rPr>
        <w:t xml:space="preserve"> משהמערערים לא פעלו בהתאם להחלטה ולא הגישו פסיקתה.  </w:t>
      </w:r>
    </w:p>
    <w:p w:rsidR="00543EA2" w:rsidRPr="005D33CF" w:rsidRDefault="00543EA2" w:rsidP="00543EA2">
      <w:pPr>
        <w:tabs>
          <w:tab w:val="left" w:pos="288"/>
          <w:tab w:val="left" w:pos="720"/>
        </w:tabs>
        <w:autoSpaceDE w:val="0"/>
        <w:autoSpaceDN w:val="0"/>
        <w:adjustRightInd w:val="0"/>
        <w:spacing w:line="360" w:lineRule="auto"/>
        <w:ind w:left="720" w:hanging="720"/>
        <w:jc w:val="both"/>
        <w:rPr>
          <w:rFonts w:ascii="David" w:hAnsi="David"/>
          <w:noProof w:val="0"/>
          <w:rtl/>
        </w:rPr>
      </w:pPr>
    </w:p>
    <w:p w:rsidR="00076537" w:rsidRPr="005D33CF" w:rsidRDefault="005D33CF" w:rsidP="00543EA2">
      <w:pPr>
        <w:tabs>
          <w:tab w:val="left" w:pos="288"/>
          <w:tab w:val="left" w:pos="720"/>
        </w:tabs>
        <w:autoSpaceDE w:val="0"/>
        <w:autoSpaceDN w:val="0"/>
        <w:adjustRightInd w:val="0"/>
        <w:spacing w:line="360" w:lineRule="auto"/>
        <w:ind w:left="720" w:hanging="720"/>
        <w:jc w:val="both"/>
        <w:rPr>
          <w:rFonts w:ascii="David" w:hAnsi="David"/>
          <w:noProof w:val="0"/>
        </w:rPr>
      </w:pPr>
      <w:r w:rsidRPr="005D33CF">
        <w:rPr>
          <w:rFonts w:ascii="David" w:hAnsi="David" w:hint="cs"/>
          <w:noProof w:val="0"/>
          <w:rtl/>
        </w:rPr>
        <w:t>15.</w:t>
      </w:r>
      <w:r w:rsidRPr="005D33CF">
        <w:rPr>
          <w:rFonts w:ascii="David" w:hAnsi="David" w:hint="cs"/>
          <w:noProof w:val="0"/>
          <w:rtl/>
        </w:rPr>
        <w:tab/>
      </w:r>
      <w:r w:rsidRPr="005D33CF">
        <w:rPr>
          <w:rFonts w:ascii="David" w:hAnsi="David"/>
          <w:noProof w:val="0"/>
          <w:rtl/>
        </w:rPr>
        <w:tab/>
      </w:r>
      <w:r w:rsidR="00076537" w:rsidRPr="005D33CF">
        <w:rPr>
          <w:rFonts w:ascii="David" w:hAnsi="David" w:hint="cs"/>
          <w:b/>
          <w:bCs/>
          <w:noProof w:val="0"/>
          <w:u w:val="single"/>
          <w:rtl/>
        </w:rPr>
        <w:t>סיכומו של דבר</w:t>
      </w:r>
      <w:r w:rsidR="00076537" w:rsidRPr="005D33CF">
        <w:rPr>
          <w:rFonts w:ascii="David" w:hAnsi="David" w:hint="cs"/>
          <w:noProof w:val="0"/>
          <w:rtl/>
        </w:rPr>
        <w:t xml:space="preserve">: לא ניתן לקבוע הורות ערטילאית. הורות יש לקבוע לפי אחד מארבעת אדני ההורות. לא ניתן "לערבב" בין הורות גנטית להורות מכוח זיקה לזיקה. רק לאחר שנקבעת הורות גנטית להורה מסוים, ניתן לכונן הורות משפטית מכוח זיקה לזיקה לבן זוגו של אותו הורה. </w:t>
      </w:r>
      <w:r w:rsidR="00603145" w:rsidRPr="005D33CF">
        <w:rPr>
          <w:rFonts w:ascii="David" w:hAnsi="David" w:hint="cs"/>
          <w:noProof w:val="0"/>
          <w:rtl/>
        </w:rPr>
        <w:t xml:space="preserve">קביעת </w:t>
      </w:r>
      <w:r w:rsidR="00076537" w:rsidRPr="005D33CF">
        <w:rPr>
          <w:rFonts w:ascii="David" w:hAnsi="David" w:hint="cs"/>
          <w:noProof w:val="0"/>
          <w:rtl/>
        </w:rPr>
        <w:t xml:space="preserve">ההורות נעשית בשני שלבים: הראשון </w:t>
      </w:r>
      <w:r w:rsidR="00603145" w:rsidRPr="005D33CF">
        <w:rPr>
          <w:rFonts w:ascii="David" w:hAnsi="David" w:hint="cs"/>
          <w:noProof w:val="0"/>
          <w:rtl/>
        </w:rPr>
        <w:t xml:space="preserve">הוא </w:t>
      </w:r>
      <w:r w:rsidR="00076537" w:rsidRPr="005D33CF">
        <w:rPr>
          <w:rFonts w:ascii="David" w:hAnsi="David" w:hint="cs"/>
          <w:noProof w:val="0"/>
          <w:rtl/>
        </w:rPr>
        <w:t xml:space="preserve">בירור </w:t>
      </w:r>
      <w:r w:rsidR="001F2B11">
        <w:rPr>
          <w:rFonts w:ascii="David" w:hAnsi="David" w:hint="cs"/>
          <w:noProof w:val="0"/>
          <w:rtl/>
        </w:rPr>
        <w:t xml:space="preserve">זהות </w:t>
      </w:r>
      <w:r w:rsidR="00076537" w:rsidRPr="005D33CF">
        <w:rPr>
          <w:rFonts w:ascii="David" w:hAnsi="David" w:hint="cs"/>
          <w:noProof w:val="0"/>
          <w:rtl/>
        </w:rPr>
        <w:t>ההור</w:t>
      </w:r>
      <w:r w:rsidR="001F2B11">
        <w:rPr>
          <w:rFonts w:ascii="David" w:hAnsi="David" w:hint="cs"/>
          <w:noProof w:val="0"/>
          <w:rtl/>
        </w:rPr>
        <w:t>ה</w:t>
      </w:r>
      <w:r w:rsidR="00076537" w:rsidRPr="005D33CF">
        <w:rPr>
          <w:rFonts w:ascii="David" w:hAnsi="David" w:hint="cs"/>
          <w:noProof w:val="0"/>
          <w:rtl/>
        </w:rPr>
        <w:t xml:space="preserve"> הגנטי באמצעות בדיקת רקמות</w:t>
      </w:r>
      <w:r w:rsidR="00603145" w:rsidRPr="005D33CF">
        <w:rPr>
          <w:rFonts w:ascii="David" w:hAnsi="David" w:hint="cs"/>
          <w:noProof w:val="0"/>
          <w:rtl/>
        </w:rPr>
        <w:t>.</w:t>
      </w:r>
      <w:r w:rsidR="00076537" w:rsidRPr="005D33CF">
        <w:rPr>
          <w:rFonts w:ascii="David" w:hAnsi="David" w:hint="cs"/>
          <w:noProof w:val="0"/>
          <w:rtl/>
        </w:rPr>
        <w:t xml:space="preserve"> לאחר שנקבע שאכן מדובר בהורה גנטי וניתן פס"ד הצהרתי לאבהות, ניתן לעבור לשלב ה</w:t>
      </w:r>
      <w:r w:rsidR="00603145" w:rsidRPr="005D33CF">
        <w:rPr>
          <w:rFonts w:ascii="David" w:hAnsi="David" w:hint="cs"/>
          <w:noProof w:val="0"/>
          <w:rtl/>
        </w:rPr>
        <w:t xml:space="preserve">שני </w:t>
      </w:r>
      <w:r w:rsidR="00076537" w:rsidRPr="005D33CF">
        <w:rPr>
          <w:rFonts w:ascii="David" w:hAnsi="David" w:hint="cs"/>
          <w:noProof w:val="0"/>
          <w:rtl/>
        </w:rPr>
        <w:t>ש</w:t>
      </w:r>
      <w:r w:rsidR="00603145" w:rsidRPr="005D33CF">
        <w:rPr>
          <w:rFonts w:ascii="David" w:hAnsi="David" w:hint="cs"/>
          <w:noProof w:val="0"/>
          <w:rtl/>
        </w:rPr>
        <w:t>עניינו כ</w:t>
      </w:r>
      <w:r w:rsidR="00076537" w:rsidRPr="005D33CF">
        <w:rPr>
          <w:rFonts w:ascii="David" w:hAnsi="David" w:hint="cs"/>
          <w:noProof w:val="0"/>
          <w:rtl/>
        </w:rPr>
        <w:t>ינון הורות משפטית באמצעות צו הורות מכוח זיקה לזיקה וזאת</w:t>
      </w:r>
      <w:r w:rsidR="00603145" w:rsidRPr="005D33CF">
        <w:rPr>
          <w:rFonts w:ascii="David" w:hAnsi="David" w:hint="cs"/>
          <w:noProof w:val="0"/>
          <w:rtl/>
        </w:rPr>
        <w:t>,</w:t>
      </w:r>
      <w:r w:rsidR="00076537" w:rsidRPr="005D33CF">
        <w:rPr>
          <w:rFonts w:ascii="David" w:hAnsi="David" w:hint="cs"/>
          <w:noProof w:val="0"/>
          <w:rtl/>
        </w:rPr>
        <w:t xml:space="preserve"> לאחר ש</w:t>
      </w:r>
      <w:r w:rsidR="00603145" w:rsidRPr="005D33CF">
        <w:rPr>
          <w:rFonts w:ascii="David" w:hAnsi="David" w:hint="cs"/>
          <w:noProof w:val="0"/>
          <w:rtl/>
        </w:rPr>
        <w:t>י</w:t>
      </w:r>
      <w:r w:rsidR="00076537" w:rsidRPr="005D33CF">
        <w:rPr>
          <w:rFonts w:ascii="David" w:hAnsi="David" w:hint="cs"/>
          <w:noProof w:val="0"/>
          <w:rtl/>
        </w:rPr>
        <w:t xml:space="preserve">וכח שבן הזוג עומד בקריטריונים שנקבעו לצורך כך </w:t>
      </w:r>
      <w:r w:rsidR="00076537" w:rsidRPr="005D33CF">
        <w:rPr>
          <w:rFonts w:ascii="David" w:hAnsi="David" w:hint="cs"/>
          <w:noProof w:val="0"/>
          <w:rtl/>
        </w:rPr>
        <w:lastRenderedPageBreak/>
        <w:t>(קיום קשר זוגי טרם הלידה</w:t>
      </w:r>
      <w:r w:rsidR="00603145" w:rsidRPr="005D33CF">
        <w:rPr>
          <w:rFonts w:ascii="David" w:hAnsi="David" w:hint="cs"/>
          <w:noProof w:val="0"/>
          <w:rtl/>
        </w:rPr>
        <w:t>,</w:t>
      </w:r>
      <w:r w:rsidR="00076537" w:rsidRPr="005D33CF">
        <w:rPr>
          <w:rFonts w:ascii="David" w:hAnsi="David" w:hint="cs"/>
          <w:noProof w:val="0"/>
          <w:rtl/>
        </w:rPr>
        <w:t xml:space="preserve"> כוונה משותפת להביאו לעולם במסגרת משותפת, תושבות, גיל, העדר רישום פלילי</w:t>
      </w:r>
      <w:r w:rsidR="00603145" w:rsidRPr="005D33CF">
        <w:rPr>
          <w:rFonts w:ascii="David" w:hAnsi="David" w:hint="cs"/>
          <w:noProof w:val="0"/>
          <w:rtl/>
        </w:rPr>
        <w:t xml:space="preserve"> ועוד</w:t>
      </w:r>
      <w:r w:rsidR="00076537" w:rsidRPr="005D33CF">
        <w:rPr>
          <w:rFonts w:ascii="David" w:hAnsi="David" w:hint="cs"/>
          <w:noProof w:val="0"/>
          <w:rtl/>
        </w:rPr>
        <w:t>).</w:t>
      </w:r>
    </w:p>
    <w:p w:rsidR="00076537" w:rsidRPr="00076537" w:rsidRDefault="00076537" w:rsidP="00076537">
      <w:pPr>
        <w:pStyle w:val="ad"/>
        <w:rPr>
          <w:rFonts w:ascii="David" w:hAnsi="David"/>
          <w:noProof w:val="0"/>
          <w:rtl/>
        </w:rPr>
      </w:pPr>
    </w:p>
    <w:p w:rsidR="00694556" w:rsidRDefault="005D33CF" w:rsidP="00065EB1">
      <w:pPr>
        <w:tabs>
          <w:tab w:val="left" w:pos="288"/>
          <w:tab w:val="left" w:pos="720"/>
        </w:tabs>
        <w:autoSpaceDE w:val="0"/>
        <w:autoSpaceDN w:val="0"/>
        <w:adjustRightInd w:val="0"/>
        <w:spacing w:after="80" w:line="360" w:lineRule="auto"/>
        <w:ind w:left="720" w:hanging="720"/>
        <w:jc w:val="both"/>
        <w:rPr>
          <w:rFonts w:ascii="Arial" w:hAnsi="Arial"/>
          <w:noProof w:val="0"/>
          <w:rtl/>
        </w:rPr>
      </w:pPr>
      <w:r>
        <w:rPr>
          <w:rFonts w:ascii="David" w:hAnsi="David" w:hint="cs"/>
          <w:noProof w:val="0"/>
          <w:rtl/>
        </w:rPr>
        <w:t>16.</w:t>
      </w:r>
      <w:r>
        <w:rPr>
          <w:rFonts w:ascii="David" w:hAnsi="David"/>
          <w:noProof w:val="0"/>
          <w:rtl/>
        </w:rPr>
        <w:tab/>
      </w:r>
      <w:r>
        <w:rPr>
          <w:rFonts w:ascii="David" w:hAnsi="David"/>
          <w:noProof w:val="0"/>
          <w:rtl/>
        </w:rPr>
        <w:tab/>
      </w:r>
      <w:r w:rsidR="00076537" w:rsidRPr="005D33CF">
        <w:rPr>
          <w:rFonts w:ascii="David" w:hAnsi="David" w:hint="cs"/>
          <w:noProof w:val="0"/>
          <w:rtl/>
        </w:rPr>
        <w:t>עמדת המערערים לקיום בדיקה עיוורת</w:t>
      </w:r>
      <w:r w:rsidR="00603145" w:rsidRPr="005D33CF">
        <w:rPr>
          <w:rFonts w:ascii="David" w:hAnsi="David" w:hint="cs"/>
          <w:noProof w:val="0"/>
          <w:rtl/>
        </w:rPr>
        <w:t>,</w:t>
      </w:r>
      <w:r w:rsidR="00076537" w:rsidRPr="005D33CF">
        <w:rPr>
          <w:rFonts w:ascii="David" w:hAnsi="David" w:hint="cs"/>
          <w:noProof w:val="0"/>
          <w:rtl/>
        </w:rPr>
        <w:t xml:space="preserve"> חותרת תחת יסודות אדני ההורות כפי שנקבעו בפסיקה.</w:t>
      </w:r>
      <w:r w:rsidR="00D12079" w:rsidRPr="005D33CF">
        <w:rPr>
          <w:rFonts w:ascii="David" w:hAnsi="David" w:hint="cs"/>
          <w:noProof w:val="0"/>
          <w:rtl/>
        </w:rPr>
        <w:t xml:space="preserve"> לא ניתן לכונן הורות מכוח זיקה לזיקה, כאשר לא ידוע מי בעל הזיקה הגנטית. לפיכך, אציע לדחות את הערעור ולחייב את המערערים בהוצאות המשיבה בסך של 20,000 ₪. הערובה על פירותיה תועבר למשיבה באמצעות ב"כ על חשבון ההוצאות.</w:t>
      </w:r>
      <w:r w:rsidR="00076537" w:rsidRPr="005D33CF">
        <w:rPr>
          <w:rFonts w:ascii="David" w:hAnsi="David" w:hint="cs"/>
          <w:noProof w:val="0"/>
          <w:rtl/>
        </w:rPr>
        <w:t xml:space="preserve">   </w:t>
      </w:r>
    </w:p>
    <w:p w:rsidR="00A7038C" w:rsidRPr="0022115E" w:rsidRDefault="0022115E"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sidRPr="00EC5A72">
        <w:rPr>
          <w:rFonts w:ascii="Calibri" w:hAnsi="Calibri" w:cs="Arial"/>
          <w:sz w:val="22"/>
          <w:szCs w:val="22"/>
        </w:rPr>
        <w:drawing>
          <wp:inline distT="0" distB="0" distL="0" distR="0" wp14:anchorId="0C3AF95D" wp14:editId="4D7D2539">
            <wp:extent cx="1143000" cy="428625"/>
            <wp:effectExtent l="0" t="0" r="0"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43000" cy="428625"/>
                    </a:xfrm>
                    <a:prstGeom prst="rect">
                      <a:avLst/>
                    </a:prstGeom>
                  </pic:spPr>
                </pic:pic>
              </a:graphicData>
            </a:graphic>
          </wp:inline>
        </w:drawing>
      </w:r>
    </w:p>
    <w:p w:rsidR="00A7038C" w:rsidRDefault="00A7038C" w:rsidP="0022115E">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A7038C" w:rsidRDefault="00A7038C" w:rsidP="0022115E">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A7038C" w:rsidRDefault="00A7038C">
      <w:pPr>
        <w:spacing w:line="360" w:lineRule="auto"/>
        <w:jc w:val="both"/>
        <w:rPr>
          <w:rFonts w:ascii="Arial" w:hAnsi="Arial"/>
          <w:b/>
          <w:bCs/>
          <w:noProof w:val="0"/>
          <w:rtl/>
        </w:rPr>
      </w:pPr>
    </w:p>
    <w:p w:rsidR="000E1F80" w:rsidRDefault="000E1F80">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0E1F80" w:rsidRDefault="000E1F80">
      <w:pPr>
        <w:spacing w:line="360" w:lineRule="auto"/>
        <w:jc w:val="both"/>
        <w:rPr>
          <w:rFonts w:ascii="Arial" w:hAnsi="Arial"/>
          <w:b/>
          <w:bCs/>
          <w:noProof w:val="0"/>
          <w:rtl/>
        </w:rPr>
      </w:pPr>
    </w:p>
    <w:p w:rsidR="000E1F80" w:rsidRDefault="00065EB1" w:rsidP="00065EB1">
      <w:pPr>
        <w:spacing w:line="360" w:lineRule="auto"/>
        <w:jc w:val="both"/>
        <w:rPr>
          <w:rFonts w:ascii="Arial" w:hAnsi="Arial"/>
          <w:b/>
          <w:bCs/>
          <w:noProof w:val="0"/>
          <w:rtl/>
        </w:rPr>
      </w:pPr>
      <w:r w:rsidRPr="00065EB1">
        <w:rPr>
          <w:rFonts w:ascii="Arial" w:hAnsi="Arial" w:hint="cs"/>
          <w:noProof w:val="0"/>
          <w:rtl/>
        </w:rPr>
        <w:t>א</w:t>
      </w:r>
      <w:r>
        <w:rPr>
          <w:rFonts w:ascii="Arial" w:hAnsi="Arial" w:hint="cs"/>
          <w:noProof w:val="0"/>
          <w:rtl/>
        </w:rPr>
        <w:t>ני מסכים.</w:t>
      </w:r>
    </w:p>
    <w:p w:rsidR="000E1F80" w:rsidRDefault="0022115E"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0483DA9A" wp14:editId="516601AA">
            <wp:extent cx="695325" cy="323850"/>
            <wp:effectExtent l="0" t="0" r="9525" b="0"/>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323850"/>
                    </a:xfrm>
                    <a:prstGeom prst="rect">
                      <a:avLst/>
                    </a:prstGeom>
                    <a:noFill/>
                    <a:ln>
                      <a:noFill/>
                    </a:ln>
                  </pic:spPr>
                </pic:pic>
              </a:graphicData>
            </a:graphic>
          </wp:inline>
        </w:drawing>
      </w:r>
    </w:p>
    <w:p w:rsidR="000E1F80" w:rsidRDefault="000E1F80"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0E1F80" w:rsidRDefault="000E1F80"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שאול שוחט, שופט</w:t>
      </w:r>
    </w:p>
    <w:p w:rsidR="000E1F80" w:rsidRDefault="000E1F80"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סגן הנשיא, אב"ד</w:t>
      </w:r>
    </w:p>
    <w:p w:rsidR="000E1F80" w:rsidRDefault="000E1F80" w:rsidP="0022115E">
      <w:pPr>
        <w:jc w:val="both"/>
        <w:rPr>
          <w:rFonts w:ascii="Arial" w:hAnsi="Arial"/>
          <w:b/>
          <w:bCs/>
          <w:noProof w:val="0"/>
          <w:rtl/>
        </w:rPr>
      </w:pPr>
    </w:p>
    <w:p w:rsidR="000E1F80" w:rsidRDefault="000E1F80">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0E1F80" w:rsidRDefault="000E1F80">
      <w:pPr>
        <w:spacing w:line="360" w:lineRule="auto"/>
        <w:jc w:val="both"/>
        <w:rPr>
          <w:rFonts w:ascii="Arial" w:hAnsi="Arial"/>
          <w:b/>
          <w:bCs/>
          <w:noProof w:val="0"/>
          <w:rtl/>
        </w:rPr>
      </w:pPr>
    </w:p>
    <w:p w:rsidR="000E1F80" w:rsidRPr="00FC0118" w:rsidRDefault="00FC0118">
      <w:pPr>
        <w:spacing w:line="360" w:lineRule="auto"/>
        <w:jc w:val="both"/>
        <w:rPr>
          <w:rFonts w:ascii="Arial" w:hAnsi="Arial"/>
          <w:noProof w:val="0"/>
          <w:rtl/>
        </w:rPr>
      </w:pPr>
      <w:r w:rsidRPr="00FC0118">
        <w:rPr>
          <w:rFonts w:ascii="Arial" w:hAnsi="Arial" w:hint="cs"/>
          <w:noProof w:val="0"/>
          <w:rtl/>
        </w:rPr>
        <w:t>אני מסכימה.</w:t>
      </w:r>
    </w:p>
    <w:p w:rsidR="000E1F80" w:rsidRDefault="0022115E"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68AD974" wp14:editId="57C50F41">
            <wp:extent cx="1082675" cy="485775"/>
            <wp:effectExtent l="0" t="0" r="3175"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2675" cy="485775"/>
                    </a:xfrm>
                    <a:prstGeom prst="rect">
                      <a:avLst/>
                    </a:prstGeom>
                    <a:noFill/>
                    <a:ln>
                      <a:noFill/>
                    </a:ln>
                  </pic:spPr>
                </pic:pic>
              </a:graphicData>
            </a:graphic>
          </wp:inline>
        </w:drawing>
      </w:r>
    </w:p>
    <w:p w:rsidR="000E1F80" w:rsidRDefault="000E1F80"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0E1F80" w:rsidRDefault="000E1F80" w:rsidP="0022115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0E1F80" w:rsidRDefault="000E1F80">
      <w:pPr>
        <w:spacing w:line="360" w:lineRule="auto"/>
        <w:jc w:val="both"/>
        <w:rPr>
          <w:rFonts w:ascii="Arial" w:hAnsi="Arial"/>
          <w:b/>
          <w:bCs/>
          <w:noProof w:val="0"/>
          <w:rtl/>
        </w:rPr>
      </w:pPr>
    </w:p>
    <w:p w:rsidR="000E1F80" w:rsidRPr="00FC0118" w:rsidRDefault="00FC0118">
      <w:pPr>
        <w:spacing w:line="360" w:lineRule="auto"/>
        <w:jc w:val="both"/>
        <w:rPr>
          <w:rFonts w:ascii="Arial" w:hAnsi="Arial"/>
          <w:b/>
          <w:bCs/>
          <w:noProof w:val="0"/>
          <w:rtl/>
        </w:rPr>
      </w:pPr>
      <w:r w:rsidRPr="00FC0118">
        <w:rPr>
          <w:rFonts w:ascii="Arial" w:hAnsi="Arial" w:hint="cs"/>
          <w:b/>
          <w:bCs/>
          <w:noProof w:val="0"/>
          <w:rtl/>
        </w:rPr>
        <w:t>הוחלט כאמור בפסק דינו של השופט נפתלי שילה.</w:t>
      </w:r>
    </w:p>
    <w:p w:rsidR="00A7038C" w:rsidRDefault="00FC0118" w:rsidP="00065EB1">
      <w:pPr>
        <w:spacing w:line="360" w:lineRule="auto"/>
        <w:jc w:val="both"/>
        <w:rPr>
          <w:rFonts w:ascii="Arial" w:hAnsi="Arial"/>
          <w:noProof w:val="0"/>
          <w:rtl/>
        </w:rPr>
      </w:pPr>
      <w:r w:rsidRPr="00FC0118">
        <w:rPr>
          <w:rFonts w:ascii="Arial" w:hAnsi="Arial" w:hint="cs"/>
          <w:b/>
          <w:bCs/>
          <w:noProof w:val="0"/>
          <w:rtl/>
        </w:rPr>
        <w:t xml:space="preserve">מותר לפרסום בכפוף להשמטת פרטים מזהים. </w:t>
      </w:r>
    </w:p>
    <w:p w:rsidR="00C43648" w:rsidRDefault="0043502B" w:rsidP="00065EB1">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065EB1">
            <w:rPr>
              <w:rFonts w:hint="cs"/>
              <w:rtl/>
            </w:rPr>
            <w:t xml:space="preserve">     </w:t>
          </w:r>
        </w:sdtContent>
      </w:sdt>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FC0118" w:rsidRPr="00861D25" w:rsidTr="000661B2">
        <w:trPr>
          <w:trHeight w:val="1400"/>
        </w:trPr>
        <w:tc>
          <w:tcPr>
            <w:tcW w:w="2988" w:type="dxa"/>
            <w:tcBorders>
              <w:top w:val="nil"/>
              <w:left w:val="nil"/>
              <w:bottom w:val="single" w:sz="4" w:space="0" w:color="auto"/>
              <w:right w:val="nil"/>
            </w:tcBorders>
            <w:vAlign w:val="center"/>
          </w:tcPr>
          <w:p w:rsidR="00FC0118" w:rsidRPr="00861D25" w:rsidRDefault="00FC0118" w:rsidP="00861D25">
            <w:pPr>
              <w:jc w:val="center"/>
              <w:rPr>
                <w:rFonts w:ascii="Courier New" w:hAnsi="Courier New"/>
                <w:b/>
                <w:bCs/>
                <w:lang w:eastAsia="he-IL"/>
              </w:rPr>
            </w:pPr>
            <w:r>
              <w:drawing>
                <wp:inline distT="0" distB="0" distL="0" distR="0" wp14:anchorId="660D302A" wp14:editId="75E32B07">
                  <wp:extent cx="695325" cy="323850"/>
                  <wp:effectExtent l="0" t="0" r="9525" b="0"/>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323850"/>
                          </a:xfrm>
                          <a:prstGeom prst="rect">
                            <a:avLst/>
                          </a:prstGeom>
                          <a:noFill/>
                          <a:ln>
                            <a:noFill/>
                          </a:ln>
                        </pic:spPr>
                      </pic:pic>
                    </a:graphicData>
                  </a:graphic>
                </wp:inline>
              </w:drawing>
            </w:r>
          </w:p>
        </w:tc>
        <w:tc>
          <w:tcPr>
            <w:tcW w:w="238" w:type="dxa"/>
            <w:vAlign w:val="center"/>
          </w:tcPr>
          <w:p w:rsidR="00FC0118" w:rsidRPr="00861D25" w:rsidRDefault="00FC0118"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FC0118" w:rsidRPr="00861D25" w:rsidRDefault="00FC0118" w:rsidP="00861D25">
            <w:pPr>
              <w:jc w:val="center"/>
              <w:rPr>
                <w:rFonts w:ascii="Courier New" w:hAnsi="Courier New"/>
                <w:b/>
                <w:bCs/>
                <w:sz w:val="20"/>
                <w:szCs w:val="20"/>
                <w:rtl/>
                <w:lang w:eastAsia="he-IL"/>
              </w:rPr>
            </w:pPr>
            <w:r>
              <w:drawing>
                <wp:inline distT="0" distB="0" distL="0" distR="0" wp14:anchorId="05E1CA39" wp14:editId="4217AA60">
                  <wp:extent cx="1082675" cy="485775"/>
                  <wp:effectExtent l="0" t="0" r="3175"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2675" cy="485775"/>
                          </a:xfrm>
                          <a:prstGeom prst="rect">
                            <a:avLst/>
                          </a:prstGeom>
                          <a:noFill/>
                          <a:ln>
                            <a:noFill/>
                          </a:ln>
                        </pic:spPr>
                      </pic:pic>
                    </a:graphicData>
                  </a:graphic>
                </wp:inline>
              </w:drawing>
            </w:r>
          </w:p>
          <w:p w:rsidR="00FC0118" w:rsidRPr="00861D25" w:rsidRDefault="00FC0118" w:rsidP="00861D25">
            <w:pPr>
              <w:jc w:val="center"/>
              <w:rPr>
                <w:rFonts w:ascii="Courier New" w:hAnsi="Courier New"/>
                <w:b/>
                <w:bCs/>
                <w:sz w:val="20"/>
                <w:szCs w:val="20"/>
                <w:lang w:eastAsia="he-IL"/>
              </w:rPr>
            </w:pPr>
          </w:p>
        </w:tc>
        <w:tc>
          <w:tcPr>
            <w:tcW w:w="303" w:type="dxa"/>
            <w:vAlign w:val="center"/>
          </w:tcPr>
          <w:p w:rsidR="00FC0118" w:rsidRPr="00861D25" w:rsidRDefault="00FC0118"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FC0118" w:rsidRPr="00861D25" w:rsidRDefault="00FC0118"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43000" cy="428625"/>
                  <wp:effectExtent l="0" t="0" r="0"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43000" cy="428625"/>
                          </a:xfrm>
                          <a:prstGeom prst="rect">
                            <a:avLst/>
                          </a:prstGeom>
                        </pic:spPr>
                      </pic:pic>
                    </a:graphicData>
                  </a:graphic>
                </wp:inline>
              </w:drawing>
            </w:r>
          </w:p>
        </w:tc>
      </w:tr>
      <w:tr w:rsidR="00FC0118" w:rsidRPr="00861D25" w:rsidTr="000661B2">
        <w:trPr>
          <w:trHeight w:val="580"/>
        </w:trPr>
        <w:tc>
          <w:tcPr>
            <w:tcW w:w="2988" w:type="dxa"/>
            <w:tcBorders>
              <w:top w:val="single" w:sz="4" w:space="0" w:color="auto"/>
              <w:left w:val="nil"/>
              <w:bottom w:val="nil"/>
              <w:right w:val="nil"/>
            </w:tcBorders>
            <w:vAlign w:val="center"/>
          </w:tcPr>
          <w:p w:rsidR="00FC0118" w:rsidRPr="00861D25" w:rsidRDefault="00FC0118"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FC0118" w:rsidRPr="00861D25" w:rsidRDefault="00FC0118"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FC0118" w:rsidRPr="00861D25" w:rsidRDefault="00FC0118"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FC0118" w:rsidRPr="00861D25" w:rsidRDefault="00FC0118"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FC0118" w:rsidRPr="00861D25" w:rsidRDefault="00FC0118" w:rsidP="00861D25">
            <w:pPr>
              <w:jc w:val="center"/>
              <w:rPr>
                <w:rFonts w:ascii="Courier New" w:hAnsi="Courier New"/>
                <w:b/>
                <w:bCs/>
                <w:lang w:eastAsia="he-IL"/>
              </w:rPr>
            </w:pPr>
          </w:p>
        </w:tc>
        <w:tc>
          <w:tcPr>
            <w:tcW w:w="303" w:type="dxa"/>
            <w:vAlign w:val="center"/>
          </w:tcPr>
          <w:p w:rsidR="00FC0118" w:rsidRPr="00861D25" w:rsidRDefault="00FC0118"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FC0118" w:rsidRPr="00861D25" w:rsidRDefault="00FC0118"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FC0118" w:rsidRPr="00861D25" w:rsidRDefault="00FC0118" w:rsidP="00861D25">
            <w:pPr>
              <w:jc w:val="center"/>
              <w:rPr>
                <w:rFonts w:ascii="Courier New" w:hAnsi="Courier New"/>
                <w:b/>
                <w:bCs/>
                <w:lang w:eastAsia="he-IL"/>
              </w:rPr>
            </w:pPr>
          </w:p>
        </w:tc>
      </w:tr>
    </w:tbl>
    <w:p w:rsidR="00FC0118" w:rsidRPr="001B00AE" w:rsidRDefault="00FC0118" w:rsidP="001B00AE">
      <w:pPr>
        <w:rPr>
          <w:rtl/>
          <w:lang w:eastAsia="he-IL"/>
        </w:rPr>
      </w:pPr>
    </w:p>
    <w:p w:rsidR="00694556" w:rsidRDefault="00FC0118" w:rsidP="00FC0118">
      <w:pPr>
        <w:tabs>
          <w:tab w:val="left" w:pos="2553"/>
        </w:tabs>
        <w:spacing w:line="360" w:lineRule="auto"/>
        <w:rPr>
          <w:rFonts w:ascii="Arial" w:hAnsi="Arial"/>
          <w:noProof w:val="0"/>
          <w:rtl/>
        </w:rPr>
      </w:pPr>
      <w:r>
        <w:rPr>
          <w:rFonts w:hint="cs"/>
          <w:rtl/>
        </w:rPr>
        <w:lastRenderedPageBreak/>
        <w:tab/>
      </w:r>
      <w:r>
        <w:rPr>
          <w:rFonts w:hint="cs"/>
          <w:rtl/>
        </w:rPr>
        <w:tab/>
      </w:r>
      <w:r>
        <w:rPr>
          <w:rFonts w:hint="cs"/>
          <w:rtl/>
        </w:rPr>
        <w:tab/>
      </w:r>
      <w:r>
        <w:rPr>
          <w:rFonts w:hint="cs"/>
          <w:rtl/>
        </w:rPr>
        <w:tab/>
        <w:t xml:space="preserve">       </w:t>
      </w:r>
    </w:p>
    <w:sectPr w:rsidR="0069455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CB4" w:rsidRDefault="003B5CB4">
      <w:r>
        <w:separator/>
      </w:r>
    </w:p>
  </w:endnote>
  <w:endnote w:type="continuationSeparator" w:id="0">
    <w:p w:rsidR="003B5CB4" w:rsidRDefault="003B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78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7837">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CB4" w:rsidRDefault="003B5CB4">
      <w:r>
        <w:separator/>
      </w:r>
    </w:p>
  </w:footnote>
  <w:footnote w:type="continuationSeparator" w:id="0">
    <w:p w:rsidR="003B5CB4" w:rsidRDefault="003B5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3B5CB4"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45240-01-23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FE6113">
                <w:rPr>
                  <w:rFonts w:hint="cs"/>
                  <w:b/>
                  <w:bCs/>
                  <w:noProof w:val="0"/>
                  <w:sz w:val="26"/>
                  <w:szCs w:val="26"/>
                  <w:rtl/>
                </w:rPr>
                <w:t>פלוני</w:t>
              </w:r>
              <w:r w:rsidR="008D3BCC">
                <w:rPr>
                  <w:b/>
                  <w:bCs/>
                  <w:noProof w:val="0"/>
                  <w:sz w:val="26"/>
                  <w:szCs w:val="26"/>
                  <w:rtl/>
                </w:rPr>
                <w:t xml:space="preserve"> ואח' נ' משרד הפנים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557"/>
    <w:multiLevelType w:val="hybridMultilevel"/>
    <w:tmpl w:val="8DD6E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79470A"/>
    <w:multiLevelType w:val="hybridMultilevel"/>
    <w:tmpl w:val="7EAE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A402BD"/>
    <w:multiLevelType w:val="hybridMultilevel"/>
    <w:tmpl w:val="82F68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F2A315E"/>
    <w:multiLevelType w:val="hybridMultilevel"/>
    <w:tmpl w:val="2A1A8326"/>
    <w:lvl w:ilvl="0" w:tplc="98AA19A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1B76"/>
    <w:rsid w:val="000236EB"/>
    <w:rsid w:val="000314FC"/>
    <w:rsid w:val="00046E71"/>
    <w:rsid w:val="000529D2"/>
    <w:rsid w:val="000564AB"/>
    <w:rsid w:val="00064FBD"/>
    <w:rsid w:val="00065EB1"/>
    <w:rsid w:val="00076537"/>
    <w:rsid w:val="00082AB2"/>
    <w:rsid w:val="00084D23"/>
    <w:rsid w:val="000906FE"/>
    <w:rsid w:val="00096AF7"/>
    <w:rsid w:val="000B344B"/>
    <w:rsid w:val="000C3B0F"/>
    <w:rsid w:val="000C3B60"/>
    <w:rsid w:val="000E0DD2"/>
    <w:rsid w:val="000E1F80"/>
    <w:rsid w:val="000E3AF1"/>
    <w:rsid w:val="000F0BC8"/>
    <w:rsid w:val="000F0DD6"/>
    <w:rsid w:val="00107E6D"/>
    <w:rsid w:val="0011194C"/>
    <w:rsid w:val="0011424C"/>
    <w:rsid w:val="001173C6"/>
    <w:rsid w:val="001367BC"/>
    <w:rsid w:val="00144D2A"/>
    <w:rsid w:val="0014653E"/>
    <w:rsid w:val="001628F2"/>
    <w:rsid w:val="00180519"/>
    <w:rsid w:val="00191C82"/>
    <w:rsid w:val="001B48A4"/>
    <w:rsid w:val="001C3FD7"/>
    <w:rsid w:val="001C4003"/>
    <w:rsid w:val="001C5B01"/>
    <w:rsid w:val="001D3441"/>
    <w:rsid w:val="001D4DBF"/>
    <w:rsid w:val="001D6D93"/>
    <w:rsid w:val="001E75CA"/>
    <w:rsid w:val="001F2B11"/>
    <w:rsid w:val="001F5DB6"/>
    <w:rsid w:val="0022115E"/>
    <w:rsid w:val="002265FF"/>
    <w:rsid w:val="002435F1"/>
    <w:rsid w:val="00271B56"/>
    <w:rsid w:val="00291593"/>
    <w:rsid w:val="002A7DB2"/>
    <w:rsid w:val="002C344E"/>
    <w:rsid w:val="002E75E9"/>
    <w:rsid w:val="00307A6A"/>
    <w:rsid w:val="00307C40"/>
    <w:rsid w:val="00320433"/>
    <w:rsid w:val="003230C7"/>
    <w:rsid w:val="00327E50"/>
    <w:rsid w:val="00332F7E"/>
    <w:rsid w:val="0033597A"/>
    <w:rsid w:val="00340B44"/>
    <w:rsid w:val="00343D89"/>
    <w:rsid w:val="00353197"/>
    <w:rsid w:val="0035482F"/>
    <w:rsid w:val="00362612"/>
    <w:rsid w:val="0036743F"/>
    <w:rsid w:val="003715DD"/>
    <w:rsid w:val="003763AB"/>
    <w:rsid w:val="00380624"/>
    <w:rsid w:val="003823E0"/>
    <w:rsid w:val="003A3614"/>
    <w:rsid w:val="003A4521"/>
    <w:rsid w:val="003B5CB4"/>
    <w:rsid w:val="003C7FB3"/>
    <w:rsid w:val="003D1C8C"/>
    <w:rsid w:val="003F42E2"/>
    <w:rsid w:val="0040096C"/>
    <w:rsid w:val="00414F1F"/>
    <w:rsid w:val="0043125D"/>
    <w:rsid w:val="0043502B"/>
    <w:rsid w:val="00440D0E"/>
    <w:rsid w:val="004443AC"/>
    <w:rsid w:val="00451E28"/>
    <w:rsid w:val="00462C62"/>
    <w:rsid w:val="00465D36"/>
    <w:rsid w:val="00467D9D"/>
    <w:rsid w:val="00497BFF"/>
    <w:rsid w:val="004C17EE"/>
    <w:rsid w:val="004C4BDF"/>
    <w:rsid w:val="004D011F"/>
    <w:rsid w:val="004D1187"/>
    <w:rsid w:val="004D3AA0"/>
    <w:rsid w:val="004E1987"/>
    <w:rsid w:val="004E2E15"/>
    <w:rsid w:val="004E6E3C"/>
    <w:rsid w:val="004F499C"/>
    <w:rsid w:val="00513175"/>
    <w:rsid w:val="005145A3"/>
    <w:rsid w:val="00517BBF"/>
    <w:rsid w:val="00520898"/>
    <w:rsid w:val="00522EC0"/>
    <w:rsid w:val="00523621"/>
    <w:rsid w:val="00524986"/>
    <w:rsid w:val="005268F6"/>
    <w:rsid w:val="00534284"/>
    <w:rsid w:val="00536A68"/>
    <w:rsid w:val="00543EA2"/>
    <w:rsid w:val="0054494A"/>
    <w:rsid w:val="00547DB7"/>
    <w:rsid w:val="00555E2B"/>
    <w:rsid w:val="005B5C7C"/>
    <w:rsid w:val="005D33CF"/>
    <w:rsid w:val="005F4F09"/>
    <w:rsid w:val="00603145"/>
    <w:rsid w:val="0061431B"/>
    <w:rsid w:val="00617CEE"/>
    <w:rsid w:val="00622BAA"/>
    <w:rsid w:val="006306CF"/>
    <w:rsid w:val="00644E9A"/>
    <w:rsid w:val="00671BD5"/>
    <w:rsid w:val="00672B5E"/>
    <w:rsid w:val="006805C1"/>
    <w:rsid w:val="00686C21"/>
    <w:rsid w:val="006931C1"/>
    <w:rsid w:val="00694556"/>
    <w:rsid w:val="006C1CD4"/>
    <w:rsid w:val="006C30C5"/>
    <w:rsid w:val="006D3B31"/>
    <w:rsid w:val="006E0D96"/>
    <w:rsid w:val="006E1A53"/>
    <w:rsid w:val="006E4371"/>
    <w:rsid w:val="006F56E6"/>
    <w:rsid w:val="00703EA1"/>
    <w:rsid w:val="00704EDA"/>
    <w:rsid w:val="00715AB3"/>
    <w:rsid w:val="00721122"/>
    <w:rsid w:val="00731E70"/>
    <w:rsid w:val="0073318A"/>
    <w:rsid w:val="00744B1C"/>
    <w:rsid w:val="00753019"/>
    <w:rsid w:val="00754801"/>
    <w:rsid w:val="00795365"/>
    <w:rsid w:val="00797BF2"/>
    <w:rsid w:val="007A1513"/>
    <w:rsid w:val="007A1941"/>
    <w:rsid w:val="007A351D"/>
    <w:rsid w:val="007B1468"/>
    <w:rsid w:val="007B4598"/>
    <w:rsid w:val="007B7765"/>
    <w:rsid w:val="007C5BDD"/>
    <w:rsid w:val="007D45E3"/>
    <w:rsid w:val="007E10A6"/>
    <w:rsid w:val="007E6115"/>
    <w:rsid w:val="007F3785"/>
    <w:rsid w:val="007F4609"/>
    <w:rsid w:val="007F46EA"/>
    <w:rsid w:val="00811A6F"/>
    <w:rsid w:val="008176A1"/>
    <w:rsid w:val="00820005"/>
    <w:rsid w:val="00821B8A"/>
    <w:rsid w:val="00844318"/>
    <w:rsid w:val="00863F5D"/>
    <w:rsid w:val="00870890"/>
    <w:rsid w:val="00873602"/>
    <w:rsid w:val="00875D12"/>
    <w:rsid w:val="008800CD"/>
    <w:rsid w:val="0088479D"/>
    <w:rsid w:val="00886BF1"/>
    <w:rsid w:val="00896889"/>
    <w:rsid w:val="008C5714"/>
    <w:rsid w:val="008D10B2"/>
    <w:rsid w:val="008D3BCC"/>
    <w:rsid w:val="00903896"/>
    <w:rsid w:val="00906F3D"/>
    <w:rsid w:val="0094424E"/>
    <w:rsid w:val="00955642"/>
    <w:rsid w:val="009622DF"/>
    <w:rsid w:val="00967DFF"/>
    <w:rsid w:val="00991AB9"/>
    <w:rsid w:val="00994341"/>
    <w:rsid w:val="009B4939"/>
    <w:rsid w:val="009D1A48"/>
    <w:rsid w:val="009D441E"/>
    <w:rsid w:val="009D5182"/>
    <w:rsid w:val="009E1CE7"/>
    <w:rsid w:val="009E4EA5"/>
    <w:rsid w:val="009F164B"/>
    <w:rsid w:val="009F323C"/>
    <w:rsid w:val="00A008EA"/>
    <w:rsid w:val="00A0408B"/>
    <w:rsid w:val="00A32893"/>
    <w:rsid w:val="00A336B1"/>
    <w:rsid w:val="00A3392B"/>
    <w:rsid w:val="00A67855"/>
    <w:rsid w:val="00A7038C"/>
    <w:rsid w:val="00A94B64"/>
    <w:rsid w:val="00A97794"/>
    <w:rsid w:val="00AA3229"/>
    <w:rsid w:val="00AA7596"/>
    <w:rsid w:val="00AB5E52"/>
    <w:rsid w:val="00AC3B02"/>
    <w:rsid w:val="00AC3B7B"/>
    <w:rsid w:val="00AC5209"/>
    <w:rsid w:val="00AD00A6"/>
    <w:rsid w:val="00AE729E"/>
    <w:rsid w:val="00AE7752"/>
    <w:rsid w:val="00AF7FDA"/>
    <w:rsid w:val="00B155FA"/>
    <w:rsid w:val="00B21D46"/>
    <w:rsid w:val="00B5356E"/>
    <w:rsid w:val="00B53B42"/>
    <w:rsid w:val="00B809AD"/>
    <w:rsid w:val="00B80CBD"/>
    <w:rsid w:val="00B86096"/>
    <w:rsid w:val="00B95A71"/>
    <w:rsid w:val="00B964D9"/>
    <w:rsid w:val="00BA0A7C"/>
    <w:rsid w:val="00BA517C"/>
    <w:rsid w:val="00BB3CC8"/>
    <w:rsid w:val="00BB3D05"/>
    <w:rsid w:val="00BB73BE"/>
    <w:rsid w:val="00BC2D89"/>
    <w:rsid w:val="00BC445E"/>
    <w:rsid w:val="00BD6531"/>
    <w:rsid w:val="00BE05B2"/>
    <w:rsid w:val="00BF1908"/>
    <w:rsid w:val="00BF7F3B"/>
    <w:rsid w:val="00C22D93"/>
    <w:rsid w:val="00C31120"/>
    <w:rsid w:val="00C34482"/>
    <w:rsid w:val="00C43648"/>
    <w:rsid w:val="00C50A9F"/>
    <w:rsid w:val="00C53EB8"/>
    <w:rsid w:val="00C642FA"/>
    <w:rsid w:val="00C65565"/>
    <w:rsid w:val="00C679AF"/>
    <w:rsid w:val="00C71D73"/>
    <w:rsid w:val="00C80D19"/>
    <w:rsid w:val="00CA47F1"/>
    <w:rsid w:val="00CB2BBA"/>
    <w:rsid w:val="00CC7622"/>
    <w:rsid w:val="00CD608F"/>
    <w:rsid w:val="00D12079"/>
    <w:rsid w:val="00D224DE"/>
    <w:rsid w:val="00D27982"/>
    <w:rsid w:val="00D33B86"/>
    <w:rsid w:val="00D51F3D"/>
    <w:rsid w:val="00D53924"/>
    <w:rsid w:val="00D55D0C"/>
    <w:rsid w:val="00D627CF"/>
    <w:rsid w:val="00D67837"/>
    <w:rsid w:val="00D74378"/>
    <w:rsid w:val="00D915A0"/>
    <w:rsid w:val="00D96D8C"/>
    <w:rsid w:val="00DA6649"/>
    <w:rsid w:val="00DC1259"/>
    <w:rsid w:val="00DC1BD2"/>
    <w:rsid w:val="00DC24F3"/>
    <w:rsid w:val="00DC2571"/>
    <w:rsid w:val="00DC487C"/>
    <w:rsid w:val="00DD3F58"/>
    <w:rsid w:val="00DE6BF6"/>
    <w:rsid w:val="00E1068A"/>
    <w:rsid w:val="00E25884"/>
    <w:rsid w:val="00E25B55"/>
    <w:rsid w:val="00E31C2B"/>
    <w:rsid w:val="00E37181"/>
    <w:rsid w:val="00E5426A"/>
    <w:rsid w:val="00E54642"/>
    <w:rsid w:val="00E75C7A"/>
    <w:rsid w:val="00E80CBE"/>
    <w:rsid w:val="00E90C80"/>
    <w:rsid w:val="00E962E3"/>
    <w:rsid w:val="00EB6C79"/>
    <w:rsid w:val="00EC37E9"/>
    <w:rsid w:val="00EF62AB"/>
    <w:rsid w:val="00F01B22"/>
    <w:rsid w:val="00F03EDC"/>
    <w:rsid w:val="00F06995"/>
    <w:rsid w:val="00F13623"/>
    <w:rsid w:val="00F44D1D"/>
    <w:rsid w:val="00F83184"/>
    <w:rsid w:val="00F84B6D"/>
    <w:rsid w:val="00F85B95"/>
    <w:rsid w:val="00FA4EAF"/>
    <w:rsid w:val="00FA5FDA"/>
    <w:rsid w:val="00FB6AB3"/>
    <w:rsid w:val="00FC0118"/>
    <w:rsid w:val="00FD1419"/>
    <w:rsid w:val="00FD49A1"/>
    <w:rsid w:val="00FD66A4"/>
    <w:rsid w:val="00FD79E4"/>
    <w:rsid w:val="00FE2894"/>
    <w:rsid w:val="00FE611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145A3"/>
    <w:pPr>
      <w:ind w:left="720"/>
      <w:contextualSpacing/>
    </w:pPr>
  </w:style>
  <w:style w:type="character" w:styleId="Hyperlink">
    <w:name w:val="Hyperlink"/>
    <w:basedOn w:val="a0"/>
    <w:semiHidden/>
    <w:unhideWhenUsed/>
    <w:rsid w:val="00D51F3D"/>
    <w:rPr>
      <w:color w:val="0000FF"/>
      <w:u w:val="single"/>
    </w:rPr>
  </w:style>
  <w:style w:type="character" w:customStyle="1" w:styleId="Ruller4">
    <w:name w:val="Ruller4 תו"/>
    <w:link w:val="Ruller40"/>
    <w:locked/>
    <w:rsid w:val="00D12079"/>
    <w:rPr>
      <w:rFonts w:ascii="Arial TUR" w:hAnsi="Arial TUR" w:cs="FrankRuehl"/>
      <w:spacing w:val="10"/>
      <w:sz w:val="22"/>
      <w:szCs w:val="28"/>
    </w:rPr>
  </w:style>
  <w:style w:type="paragraph" w:customStyle="1" w:styleId="Ruller40">
    <w:name w:val="Ruller4"/>
    <w:basedOn w:val="a"/>
    <w:link w:val="Ruller4"/>
    <w:rsid w:val="00D12079"/>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578419">
      <w:bodyDiv w:val="1"/>
      <w:marLeft w:val="0"/>
      <w:marRight w:val="0"/>
      <w:marTop w:val="0"/>
      <w:marBottom w:val="0"/>
      <w:divBdr>
        <w:top w:val="none" w:sz="0" w:space="0" w:color="auto"/>
        <w:left w:val="none" w:sz="0" w:space="0" w:color="auto"/>
        <w:bottom w:val="none" w:sz="0" w:space="0" w:color="auto"/>
        <w:right w:val="none" w:sz="0" w:space="0" w:color="auto"/>
      </w:divBdr>
    </w:div>
    <w:div w:id="925185188">
      <w:bodyDiv w:val="1"/>
      <w:marLeft w:val="0"/>
      <w:marRight w:val="0"/>
      <w:marTop w:val="0"/>
      <w:marBottom w:val="0"/>
      <w:divBdr>
        <w:top w:val="none" w:sz="0" w:space="0" w:color="auto"/>
        <w:left w:val="none" w:sz="0" w:space="0" w:color="auto"/>
        <w:bottom w:val="none" w:sz="0" w:space="0" w:color="auto"/>
        <w:right w:val="none" w:sz="0" w:space="0" w:color="auto"/>
      </w:divBdr>
    </w:div>
    <w:div w:id="11562593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256037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A5ED8" w:rsidP="00EA5ED8">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1E25"/>
    <w:rsid w:val="000A4ACE"/>
    <w:rsid w:val="002B5B59"/>
    <w:rsid w:val="002D02C4"/>
    <w:rsid w:val="002E734C"/>
    <w:rsid w:val="00334638"/>
    <w:rsid w:val="00345C9D"/>
    <w:rsid w:val="003E1A82"/>
    <w:rsid w:val="0048651F"/>
    <w:rsid w:val="00556D67"/>
    <w:rsid w:val="00720B9A"/>
    <w:rsid w:val="00793995"/>
    <w:rsid w:val="007C6F98"/>
    <w:rsid w:val="007E254A"/>
    <w:rsid w:val="008B4366"/>
    <w:rsid w:val="009133C7"/>
    <w:rsid w:val="009178E4"/>
    <w:rsid w:val="00961B27"/>
    <w:rsid w:val="00A87A62"/>
    <w:rsid w:val="00AA7CE3"/>
    <w:rsid w:val="00B91FA3"/>
    <w:rsid w:val="00C96C06"/>
    <w:rsid w:val="00E31BF6"/>
    <w:rsid w:val="00E81DB1"/>
    <w:rsid w:val="00EA5ED8"/>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5ED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A5ED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2977</Words>
  <Characters>14888</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2023-06-04T12:11:00Z</dcterms:created>
  <dcterms:modified xsi:type="dcterms:W3CDTF">2023-06-04T12:11:00Z</dcterms:modified>
</cp:coreProperties>
</file>